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432921" w14:textId="0A223CAD" w:rsidR="00E33195" w:rsidRPr="003121EC" w:rsidRDefault="003121EC" w:rsidP="0006539A">
      <w:pPr>
        <w:jc w:val="both"/>
        <w:rPr>
          <w:rFonts w:ascii="Arial" w:hAnsi="Arial" w:cs="Arial"/>
          <w:b/>
          <w:bCs/>
        </w:rPr>
      </w:pPr>
      <w:r w:rsidRPr="003121EC">
        <w:rPr>
          <w:rFonts w:ascii="Arial" w:hAnsi="Arial" w:cs="Arial" w:hint="eastAsia"/>
          <w:b/>
          <w:bCs/>
        </w:rPr>
        <w:t>3</w:t>
      </w:r>
      <w:r w:rsidRPr="003121EC">
        <w:rPr>
          <w:rFonts w:ascii="Arial" w:hAnsi="Arial" w:cs="Arial"/>
          <w:b/>
          <w:bCs/>
        </w:rPr>
        <w:t>GPP TSG-RAN WG2 Meeting #</w:t>
      </w:r>
      <w:r w:rsidR="0006539A">
        <w:rPr>
          <w:rFonts w:ascii="Arial" w:hAnsi="Arial" w:cs="Arial"/>
          <w:b/>
          <w:bCs/>
        </w:rPr>
        <w:t>120</w:t>
      </w:r>
      <w:r w:rsidR="0006539A">
        <w:rPr>
          <w:rFonts w:ascii="Arial" w:hAnsi="Arial" w:cs="Arial"/>
          <w:b/>
          <w:bCs/>
        </w:rPr>
        <w:tab/>
      </w:r>
      <w:r w:rsidR="0006539A">
        <w:rPr>
          <w:rFonts w:ascii="Arial" w:hAnsi="Arial" w:cs="Arial"/>
          <w:b/>
          <w:bCs/>
        </w:rPr>
        <w:tab/>
      </w:r>
      <w:r w:rsidR="0006539A">
        <w:rPr>
          <w:rFonts w:ascii="Arial" w:hAnsi="Arial" w:cs="Arial"/>
          <w:b/>
          <w:bCs/>
        </w:rPr>
        <w:tab/>
      </w:r>
      <w:r w:rsidR="0006539A">
        <w:rPr>
          <w:rFonts w:ascii="Arial" w:hAnsi="Arial" w:cs="Arial"/>
          <w:b/>
          <w:bCs/>
        </w:rPr>
        <w:tab/>
      </w:r>
      <w:r w:rsidR="0006539A">
        <w:rPr>
          <w:rFonts w:ascii="Arial" w:hAnsi="Arial" w:cs="Arial"/>
          <w:b/>
          <w:bCs/>
        </w:rPr>
        <w:tab/>
      </w:r>
      <w:r w:rsidR="0006539A">
        <w:rPr>
          <w:rFonts w:ascii="Arial" w:hAnsi="Arial" w:cs="Arial"/>
          <w:b/>
          <w:bCs/>
        </w:rPr>
        <w:tab/>
        <w:t xml:space="preserve">  </w:t>
      </w:r>
      <w:r w:rsidRPr="003121EC">
        <w:rPr>
          <w:rFonts w:ascii="Arial" w:hAnsi="Arial" w:cs="Arial"/>
          <w:b/>
          <w:bCs/>
        </w:rPr>
        <w:t>R2-22</w:t>
      </w:r>
      <w:r w:rsidR="007D7C6F">
        <w:rPr>
          <w:rFonts w:ascii="Arial" w:hAnsi="Arial" w:cs="Arial" w:hint="eastAsia"/>
          <w:b/>
          <w:bCs/>
        </w:rPr>
        <w:t>1</w:t>
      </w:r>
      <w:r w:rsidR="007D7C6F">
        <w:rPr>
          <w:rFonts w:ascii="Arial" w:hAnsi="Arial" w:cs="Arial"/>
          <w:b/>
          <w:bCs/>
        </w:rPr>
        <w:t>2839</w:t>
      </w:r>
    </w:p>
    <w:p w14:paraId="16FD842A" w14:textId="226208AD" w:rsidR="003121EC" w:rsidRPr="003121EC" w:rsidRDefault="00E2710D">
      <w:pPr>
        <w:rPr>
          <w:rFonts w:ascii="Arial" w:hAnsi="Arial" w:cs="Arial"/>
          <w:b/>
          <w:bCs/>
        </w:rPr>
      </w:pPr>
      <w:r>
        <w:rPr>
          <w:rFonts w:ascii="Arial" w:hAnsi="Arial" w:cs="Arial"/>
          <w:b/>
          <w:bCs/>
        </w:rPr>
        <w:t>Toulouse, France,</w:t>
      </w:r>
      <w:r w:rsidR="003121EC" w:rsidRPr="003121EC">
        <w:rPr>
          <w:rFonts w:ascii="Arial" w:hAnsi="Arial" w:cs="Arial"/>
          <w:b/>
          <w:bCs/>
        </w:rPr>
        <w:t xml:space="preserve"> </w:t>
      </w:r>
      <w:r>
        <w:rPr>
          <w:rFonts w:ascii="Arial" w:hAnsi="Arial" w:cs="Arial"/>
          <w:b/>
          <w:bCs/>
        </w:rPr>
        <w:t>14</w:t>
      </w:r>
      <w:r w:rsidR="00DC362F" w:rsidRPr="00DC362F">
        <w:rPr>
          <w:rFonts w:ascii="Arial" w:hAnsi="Arial" w:cs="Arial" w:hint="eastAsia"/>
          <w:b/>
          <w:bCs/>
          <w:vertAlign w:val="superscript"/>
        </w:rPr>
        <w:t>t</w:t>
      </w:r>
      <w:r w:rsidR="00DC362F" w:rsidRPr="00DC362F">
        <w:rPr>
          <w:rFonts w:ascii="Arial" w:hAnsi="Arial" w:cs="Arial"/>
          <w:b/>
          <w:bCs/>
          <w:vertAlign w:val="superscript"/>
        </w:rPr>
        <w:t>h</w:t>
      </w:r>
      <w:r w:rsidR="00DC362F">
        <w:rPr>
          <w:rFonts w:ascii="Arial" w:hAnsi="Arial" w:cs="Arial"/>
          <w:b/>
          <w:bCs/>
        </w:rPr>
        <w:t xml:space="preserve"> </w:t>
      </w:r>
      <w:r w:rsidR="003121EC" w:rsidRPr="003121EC">
        <w:rPr>
          <w:rFonts w:ascii="Arial" w:hAnsi="Arial" w:cs="Arial"/>
          <w:b/>
          <w:bCs/>
        </w:rPr>
        <w:t>–</w:t>
      </w:r>
      <w:r>
        <w:rPr>
          <w:rFonts w:ascii="Arial" w:hAnsi="Arial" w:cs="Arial"/>
          <w:b/>
          <w:bCs/>
        </w:rPr>
        <w:t>18</w:t>
      </w:r>
      <w:r w:rsidR="00DC362F" w:rsidRPr="00DC362F">
        <w:rPr>
          <w:rFonts w:ascii="Arial" w:hAnsi="Arial" w:cs="Arial"/>
          <w:b/>
          <w:bCs/>
          <w:vertAlign w:val="superscript"/>
        </w:rPr>
        <w:t>th</w:t>
      </w:r>
      <w:r w:rsidR="00DC362F">
        <w:rPr>
          <w:rFonts w:ascii="Arial" w:hAnsi="Arial" w:cs="Arial"/>
          <w:b/>
          <w:bCs/>
        </w:rPr>
        <w:t xml:space="preserve"> </w:t>
      </w:r>
      <w:r w:rsidR="00D05960">
        <w:rPr>
          <w:rFonts w:ascii="Arial" w:hAnsi="Arial" w:cs="Arial"/>
          <w:b/>
          <w:bCs/>
        </w:rPr>
        <w:t>November</w:t>
      </w:r>
      <w:r w:rsidR="003121EC" w:rsidRPr="003121EC">
        <w:rPr>
          <w:rFonts w:ascii="Arial" w:hAnsi="Arial" w:cs="Arial"/>
          <w:b/>
          <w:bCs/>
        </w:rPr>
        <w:t xml:space="preserve"> 2022</w:t>
      </w:r>
    </w:p>
    <w:p w14:paraId="5652D157" w14:textId="4235EC8B" w:rsidR="003121EC" w:rsidRPr="00E2710D" w:rsidRDefault="003121EC">
      <w:pPr>
        <w:rPr>
          <w:rFonts w:ascii="Arial" w:hAnsi="Arial" w:cs="Arial"/>
          <w:b/>
          <w:bCs/>
        </w:rPr>
      </w:pPr>
    </w:p>
    <w:p w14:paraId="29C06697" w14:textId="29DE8130" w:rsidR="003121EC" w:rsidRPr="003121EC" w:rsidRDefault="003121EC">
      <w:pPr>
        <w:rPr>
          <w:rFonts w:ascii="Arial" w:hAnsi="Arial" w:cs="Arial"/>
          <w:b/>
          <w:bCs/>
        </w:rPr>
      </w:pPr>
      <w:r w:rsidRPr="003121EC">
        <w:rPr>
          <w:rFonts w:ascii="Arial" w:hAnsi="Arial" w:cs="Arial" w:hint="eastAsia"/>
          <w:b/>
          <w:bCs/>
        </w:rPr>
        <w:t>A</w:t>
      </w:r>
      <w:r w:rsidRPr="003121EC">
        <w:rPr>
          <w:rFonts w:ascii="Arial" w:hAnsi="Arial" w:cs="Arial"/>
          <w:b/>
          <w:bCs/>
        </w:rPr>
        <w:t>genda item:</w:t>
      </w:r>
      <w:r w:rsidRPr="003121EC">
        <w:rPr>
          <w:rFonts w:ascii="Arial" w:hAnsi="Arial" w:cs="Arial"/>
          <w:b/>
          <w:bCs/>
        </w:rPr>
        <w:tab/>
      </w:r>
      <w:r w:rsidR="00475C9F">
        <w:rPr>
          <w:rFonts w:ascii="Arial" w:hAnsi="Arial" w:cs="Arial"/>
          <w:b/>
          <w:bCs/>
        </w:rPr>
        <w:t>8</w:t>
      </w:r>
      <w:r w:rsidRPr="003121EC">
        <w:rPr>
          <w:rFonts w:ascii="Arial" w:hAnsi="Arial" w:cs="Arial"/>
          <w:b/>
          <w:bCs/>
        </w:rPr>
        <w:t>.</w:t>
      </w:r>
      <w:r w:rsidR="00475C9F">
        <w:rPr>
          <w:rFonts w:ascii="Arial" w:hAnsi="Arial" w:cs="Arial"/>
          <w:b/>
          <w:bCs/>
        </w:rPr>
        <w:t>18</w:t>
      </w:r>
      <w:r w:rsidRPr="003121EC">
        <w:rPr>
          <w:rFonts w:ascii="Arial" w:hAnsi="Arial" w:cs="Arial"/>
          <w:b/>
          <w:bCs/>
        </w:rPr>
        <w:t>.</w:t>
      </w:r>
      <w:r w:rsidR="00475C9F">
        <w:rPr>
          <w:rFonts w:ascii="Arial" w:hAnsi="Arial" w:cs="Arial"/>
          <w:b/>
          <w:bCs/>
        </w:rPr>
        <w:t>2</w:t>
      </w:r>
    </w:p>
    <w:p w14:paraId="71DAD564" w14:textId="560223FF" w:rsidR="003121EC" w:rsidRPr="003121EC" w:rsidRDefault="003121EC">
      <w:pPr>
        <w:rPr>
          <w:rFonts w:ascii="Arial" w:hAnsi="Arial" w:cs="Arial"/>
          <w:b/>
          <w:bCs/>
        </w:rPr>
      </w:pPr>
      <w:r w:rsidRPr="003121EC">
        <w:rPr>
          <w:rFonts w:ascii="Arial" w:hAnsi="Arial" w:cs="Arial" w:hint="eastAsia"/>
          <w:b/>
          <w:bCs/>
        </w:rPr>
        <w:t>S</w:t>
      </w:r>
      <w:r w:rsidRPr="003121EC">
        <w:rPr>
          <w:rFonts w:ascii="Arial" w:hAnsi="Arial" w:cs="Arial"/>
          <w:b/>
          <w:bCs/>
        </w:rPr>
        <w:t>ource:</w:t>
      </w:r>
      <w:r w:rsidRPr="003121EC">
        <w:rPr>
          <w:rFonts w:ascii="Arial" w:hAnsi="Arial" w:cs="Arial"/>
          <w:b/>
          <w:bCs/>
        </w:rPr>
        <w:tab/>
      </w:r>
      <w:r w:rsidRPr="003121EC">
        <w:rPr>
          <w:rFonts w:ascii="Arial" w:hAnsi="Arial" w:cs="Arial"/>
          <w:b/>
          <w:bCs/>
        </w:rPr>
        <w:tab/>
      </w:r>
      <w:r w:rsidRPr="003121EC">
        <w:rPr>
          <w:rFonts w:ascii="Arial" w:hAnsi="Arial" w:cs="Arial"/>
          <w:b/>
          <w:bCs/>
        </w:rPr>
        <w:tab/>
        <w:t>MediaTek</w:t>
      </w:r>
      <w:r w:rsidR="00E2710D">
        <w:rPr>
          <w:rFonts w:ascii="Arial" w:hAnsi="Arial" w:cs="Arial"/>
          <w:b/>
          <w:bCs/>
        </w:rPr>
        <w:t xml:space="preserve"> </w:t>
      </w:r>
      <w:r w:rsidRPr="003121EC">
        <w:rPr>
          <w:rFonts w:ascii="Arial" w:hAnsi="Arial" w:cs="Arial"/>
          <w:b/>
          <w:bCs/>
        </w:rPr>
        <w:t>Inc.</w:t>
      </w:r>
    </w:p>
    <w:p w14:paraId="2054EB51" w14:textId="7C3BFA47" w:rsidR="003121EC" w:rsidRPr="003121EC" w:rsidRDefault="003121EC" w:rsidP="00E2710D">
      <w:pPr>
        <w:ind w:left="1920" w:hanging="1920"/>
        <w:rPr>
          <w:rFonts w:ascii="Arial" w:hAnsi="Arial" w:cs="Arial"/>
          <w:b/>
          <w:bCs/>
        </w:rPr>
      </w:pPr>
      <w:r w:rsidRPr="003121EC">
        <w:rPr>
          <w:rFonts w:ascii="Arial" w:hAnsi="Arial" w:cs="Arial" w:hint="eastAsia"/>
          <w:b/>
          <w:bCs/>
        </w:rPr>
        <w:t>T</w:t>
      </w:r>
      <w:r w:rsidRPr="003121EC">
        <w:rPr>
          <w:rFonts w:ascii="Arial" w:hAnsi="Arial" w:cs="Arial"/>
          <w:b/>
          <w:bCs/>
        </w:rPr>
        <w:t>itle:</w:t>
      </w:r>
      <w:r w:rsidRPr="003121EC">
        <w:rPr>
          <w:rFonts w:ascii="Arial" w:hAnsi="Arial" w:cs="Arial"/>
          <w:b/>
          <w:bCs/>
        </w:rPr>
        <w:tab/>
      </w:r>
      <w:r w:rsidR="002D6824">
        <w:rPr>
          <w:rFonts w:ascii="Arial" w:hAnsi="Arial" w:cs="Arial"/>
          <w:b/>
          <w:bCs/>
        </w:rPr>
        <w:t>Stage-2 d</w:t>
      </w:r>
      <w:r w:rsidR="009A4A02">
        <w:rPr>
          <w:rFonts w:ascii="Arial" w:hAnsi="Arial" w:cs="Arial"/>
          <w:b/>
          <w:bCs/>
        </w:rPr>
        <w:t>iscussion o</w:t>
      </w:r>
      <w:r w:rsidR="00E2710D">
        <w:rPr>
          <w:rFonts w:ascii="Arial" w:hAnsi="Arial" w:cs="Arial"/>
          <w:b/>
          <w:bCs/>
        </w:rPr>
        <w:t xml:space="preserve">n </w:t>
      </w:r>
      <w:r w:rsidR="001E3330">
        <w:rPr>
          <w:rFonts w:ascii="Arial" w:hAnsi="Arial" w:cs="Arial"/>
          <w:b/>
          <w:bCs/>
        </w:rPr>
        <w:t>MT-SDT</w:t>
      </w:r>
      <w:r w:rsidR="009A4A02">
        <w:rPr>
          <w:rFonts w:ascii="Arial" w:hAnsi="Arial" w:cs="Arial"/>
          <w:b/>
          <w:bCs/>
        </w:rPr>
        <w:t xml:space="preserve"> procedure</w:t>
      </w:r>
    </w:p>
    <w:p w14:paraId="2BCCBEA2" w14:textId="69D562CF" w:rsidR="003121EC" w:rsidRPr="003121EC" w:rsidRDefault="003121EC">
      <w:pPr>
        <w:rPr>
          <w:rFonts w:ascii="Arial" w:hAnsi="Arial" w:cs="Arial"/>
          <w:b/>
          <w:bCs/>
        </w:rPr>
      </w:pPr>
      <w:r w:rsidRPr="003121EC">
        <w:rPr>
          <w:rFonts w:ascii="Arial" w:hAnsi="Arial" w:cs="Arial" w:hint="eastAsia"/>
          <w:b/>
          <w:bCs/>
        </w:rPr>
        <w:t>D</w:t>
      </w:r>
      <w:r w:rsidRPr="003121EC">
        <w:rPr>
          <w:rFonts w:ascii="Arial" w:hAnsi="Arial" w:cs="Arial"/>
          <w:b/>
          <w:bCs/>
        </w:rPr>
        <w:t>ocument for:</w:t>
      </w:r>
      <w:r w:rsidRPr="003121EC">
        <w:rPr>
          <w:rFonts w:ascii="Arial" w:hAnsi="Arial" w:cs="Arial"/>
          <w:b/>
          <w:bCs/>
        </w:rPr>
        <w:tab/>
        <w:t>Discussion and Decision</w:t>
      </w:r>
    </w:p>
    <w:p w14:paraId="3A3C8ACC" w14:textId="3FA587A8" w:rsidR="003121EC" w:rsidRDefault="003121EC">
      <w:pPr>
        <w:rPr>
          <w:rFonts w:ascii="Arial" w:hAnsi="Arial" w:cs="Arial"/>
        </w:rPr>
      </w:pPr>
    </w:p>
    <w:p w14:paraId="4C51FFD0" w14:textId="58D9C28F" w:rsidR="003121EC" w:rsidRPr="003121EC" w:rsidRDefault="003121EC" w:rsidP="00555338">
      <w:pPr>
        <w:pStyle w:val="a3"/>
        <w:numPr>
          <w:ilvl w:val="0"/>
          <w:numId w:val="2"/>
        </w:numPr>
        <w:pBdr>
          <w:top w:val="single" w:sz="12" w:space="1" w:color="auto"/>
        </w:pBdr>
        <w:ind w:leftChars="0"/>
        <w:outlineLvl w:val="0"/>
        <w:rPr>
          <w:rFonts w:ascii="Arial" w:hAnsi="Arial" w:cs="Arial"/>
          <w:sz w:val="36"/>
          <w:szCs w:val="36"/>
        </w:rPr>
      </w:pPr>
      <w:r w:rsidRPr="003121EC">
        <w:rPr>
          <w:rFonts w:ascii="Arial" w:hAnsi="Arial" w:cs="Arial" w:hint="eastAsia"/>
          <w:sz w:val="36"/>
          <w:szCs w:val="36"/>
        </w:rPr>
        <w:t>I</w:t>
      </w:r>
      <w:r w:rsidRPr="003121EC">
        <w:rPr>
          <w:rFonts w:ascii="Arial" w:hAnsi="Arial" w:cs="Arial"/>
          <w:sz w:val="36"/>
          <w:szCs w:val="36"/>
        </w:rPr>
        <w:t>ntroduction</w:t>
      </w:r>
    </w:p>
    <w:p w14:paraId="62856A35" w14:textId="12851525" w:rsidR="003121EC" w:rsidRDefault="00BC650E" w:rsidP="003121EC">
      <w:pPr>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his document intends</w:t>
      </w:r>
      <w:r w:rsidR="003C006B" w:rsidRPr="003C006B">
        <w:rPr>
          <w:rFonts w:ascii="Times New Roman" w:hAnsi="Times New Roman" w:cs="Times New Roman"/>
          <w:sz w:val="20"/>
          <w:szCs w:val="20"/>
        </w:rPr>
        <w:t xml:space="preserve"> </w:t>
      </w:r>
      <w:r w:rsidR="003C006B">
        <w:rPr>
          <w:rFonts w:ascii="Times New Roman" w:hAnsi="Times New Roman" w:cs="Times New Roman"/>
          <w:sz w:val="20"/>
          <w:szCs w:val="20"/>
        </w:rPr>
        <w:t xml:space="preserve">to </w:t>
      </w:r>
      <w:r w:rsidR="0012552A">
        <w:rPr>
          <w:rFonts w:ascii="Times New Roman" w:hAnsi="Times New Roman" w:cs="Times New Roman"/>
          <w:sz w:val="20"/>
          <w:szCs w:val="20"/>
        </w:rPr>
        <w:t>discuss the Rel-18 MT-SDT procedure at stage 2 level, according to the</w:t>
      </w:r>
      <w:r w:rsidR="00EB711D">
        <w:rPr>
          <w:rFonts w:ascii="Times New Roman" w:hAnsi="Times New Roman" w:cs="Times New Roman"/>
          <w:sz w:val="20"/>
          <w:szCs w:val="20"/>
        </w:rPr>
        <w:t xml:space="preserve"> objectives in the</w:t>
      </w:r>
      <w:r w:rsidR="0012552A">
        <w:rPr>
          <w:rFonts w:ascii="Times New Roman" w:hAnsi="Times New Roman" w:cs="Times New Roman"/>
          <w:sz w:val="20"/>
          <w:szCs w:val="20"/>
        </w:rPr>
        <w:t xml:space="preserve"> WID [1].</w:t>
      </w:r>
    </w:p>
    <w:p w14:paraId="7759815E" w14:textId="77777777" w:rsidR="00565D6C" w:rsidRPr="00D060DF" w:rsidRDefault="00565D6C" w:rsidP="003121EC">
      <w:pPr>
        <w:rPr>
          <w:rFonts w:ascii="Times New Roman" w:hAnsi="Times New Roman" w:cs="Times New Roman"/>
          <w:sz w:val="20"/>
          <w:szCs w:val="20"/>
        </w:rPr>
      </w:pPr>
    </w:p>
    <w:p w14:paraId="5D427044" w14:textId="59E90D46" w:rsidR="003121EC" w:rsidRPr="003121EC" w:rsidRDefault="003121EC" w:rsidP="00555338">
      <w:pPr>
        <w:pStyle w:val="a3"/>
        <w:numPr>
          <w:ilvl w:val="0"/>
          <w:numId w:val="2"/>
        </w:numPr>
        <w:pBdr>
          <w:top w:val="single" w:sz="12" w:space="1" w:color="auto"/>
        </w:pBdr>
        <w:ind w:leftChars="0"/>
        <w:outlineLvl w:val="0"/>
        <w:rPr>
          <w:rFonts w:ascii="Arial" w:hAnsi="Arial" w:cs="Arial"/>
          <w:sz w:val="36"/>
          <w:szCs w:val="36"/>
        </w:rPr>
      </w:pPr>
      <w:r w:rsidRPr="003121EC">
        <w:rPr>
          <w:rFonts w:ascii="Arial" w:hAnsi="Arial" w:cs="Arial" w:hint="eastAsia"/>
          <w:sz w:val="36"/>
          <w:szCs w:val="36"/>
        </w:rPr>
        <w:t>D</w:t>
      </w:r>
      <w:r w:rsidRPr="003121EC">
        <w:rPr>
          <w:rFonts w:ascii="Arial" w:hAnsi="Arial" w:cs="Arial"/>
          <w:sz w:val="36"/>
          <w:szCs w:val="36"/>
        </w:rPr>
        <w:t>iscussion</w:t>
      </w:r>
    </w:p>
    <w:p w14:paraId="107A6625" w14:textId="1B3BBCAB" w:rsidR="00D867BF" w:rsidRDefault="0012552A" w:rsidP="00D867BF">
      <w:pPr>
        <w:pStyle w:val="a3"/>
        <w:numPr>
          <w:ilvl w:val="1"/>
          <w:numId w:val="2"/>
        </w:numPr>
        <w:ind w:leftChars="0" w:left="709" w:hanging="709"/>
        <w:outlineLvl w:val="1"/>
        <w:rPr>
          <w:rFonts w:ascii="Arial" w:hAnsi="Arial" w:cs="Arial"/>
          <w:sz w:val="32"/>
          <w:szCs w:val="32"/>
        </w:rPr>
      </w:pPr>
      <w:r>
        <w:rPr>
          <w:rFonts w:ascii="Arial" w:hAnsi="Arial" w:cs="Arial" w:hint="eastAsia"/>
          <w:sz w:val="32"/>
          <w:szCs w:val="32"/>
        </w:rPr>
        <w:t>O</w:t>
      </w:r>
      <w:r>
        <w:rPr>
          <w:rFonts w:ascii="Arial" w:hAnsi="Arial" w:cs="Arial"/>
          <w:sz w:val="32"/>
          <w:szCs w:val="32"/>
        </w:rPr>
        <w:t>verall procedure</w:t>
      </w:r>
    </w:p>
    <w:p w14:paraId="72FEB87E" w14:textId="3480FD3A" w:rsidR="00205A83" w:rsidRDefault="00EB711D" w:rsidP="00205A83">
      <w:pPr>
        <w:rPr>
          <w:rFonts w:ascii="Times New Roman" w:hAnsi="Times New Roman" w:cs="Times New Roman"/>
          <w:sz w:val="20"/>
          <w:szCs w:val="20"/>
        </w:rPr>
      </w:pPr>
      <w:r>
        <w:rPr>
          <w:rFonts w:ascii="Times New Roman" w:hAnsi="Times New Roman" w:cs="Times New Roman"/>
          <w:sz w:val="20"/>
          <w:szCs w:val="20"/>
        </w:rPr>
        <w:t xml:space="preserve">To support mobile-terminated small data transmission in the RRC_INACTIVE state, </w:t>
      </w:r>
      <w:r w:rsidR="002D7BEA">
        <w:rPr>
          <w:rFonts w:ascii="Times New Roman" w:hAnsi="Times New Roman" w:cs="Times New Roman"/>
          <w:sz w:val="20"/>
          <w:szCs w:val="20"/>
        </w:rPr>
        <w:t xml:space="preserve">we think it is </w:t>
      </w:r>
      <w:r w:rsidR="00397C27">
        <w:rPr>
          <w:rFonts w:ascii="Times New Roman" w:hAnsi="Times New Roman" w:cs="Times New Roman"/>
          <w:sz w:val="20"/>
          <w:szCs w:val="20"/>
        </w:rPr>
        <w:t>natural to leverage Rel-17 resource grant mechanism in RA-based or CG-based SDT because bi-directional transmission for subsequent small data is the objective.</w:t>
      </w:r>
      <w:r w:rsidR="008C530A">
        <w:rPr>
          <w:rFonts w:ascii="Times New Roman" w:hAnsi="Times New Roman" w:cs="Times New Roman"/>
          <w:sz w:val="20"/>
          <w:szCs w:val="20"/>
        </w:rPr>
        <w:t xml:space="preserve"> Therefore</w:t>
      </w:r>
      <w:r w:rsidR="000E70C6">
        <w:rPr>
          <w:rFonts w:ascii="Times New Roman" w:hAnsi="Times New Roman" w:cs="Times New Roman"/>
          <w:sz w:val="20"/>
          <w:szCs w:val="20"/>
        </w:rPr>
        <w:t>,</w:t>
      </w:r>
      <w:r w:rsidR="008C530A">
        <w:rPr>
          <w:rFonts w:ascii="Times New Roman" w:hAnsi="Times New Roman" w:cs="Times New Roman"/>
          <w:sz w:val="20"/>
          <w:szCs w:val="20"/>
        </w:rPr>
        <w:t xml:space="preserve"> </w:t>
      </w:r>
      <w:r w:rsidR="000E70C6">
        <w:rPr>
          <w:rFonts w:ascii="Times New Roman" w:hAnsi="Times New Roman" w:cs="Times New Roman"/>
          <w:sz w:val="20"/>
          <w:szCs w:val="20"/>
        </w:rPr>
        <w:t xml:space="preserve">we propose </w:t>
      </w:r>
      <w:r w:rsidR="008C530A">
        <w:rPr>
          <w:rFonts w:ascii="Times New Roman" w:hAnsi="Times New Roman" w:cs="Times New Roman"/>
          <w:sz w:val="20"/>
          <w:szCs w:val="20"/>
        </w:rPr>
        <w:t xml:space="preserve">the </w:t>
      </w:r>
      <w:r w:rsidR="00CC0108">
        <w:rPr>
          <w:rFonts w:ascii="Times New Roman" w:hAnsi="Times New Roman" w:cs="Times New Roman"/>
          <w:sz w:val="20"/>
          <w:szCs w:val="20"/>
        </w:rPr>
        <w:t>baseline</w:t>
      </w:r>
      <w:r w:rsidR="008C530A">
        <w:rPr>
          <w:rFonts w:ascii="Times New Roman" w:hAnsi="Times New Roman" w:cs="Times New Roman"/>
          <w:sz w:val="20"/>
          <w:szCs w:val="20"/>
        </w:rPr>
        <w:t xml:space="preserve"> for </w:t>
      </w:r>
      <w:r w:rsidR="003C7760">
        <w:rPr>
          <w:rFonts w:ascii="Times New Roman" w:hAnsi="Times New Roman" w:cs="Times New Roman"/>
          <w:sz w:val="20"/>
          <w:szCs w:val="20"/>
        </w:rPr>
        <w:t xml:space="preserve">RA-based </w:t>
      </w:r>
      <w:r w:rsidR="008C530A">
        <w:rPr>
          <w:rFonts w:ascii="Times New Roman" w:hAnsi="Times New Roman" w:cs="Times New Roman"/>
          <w:sz w:val="20"/>
          <w:szCs w:val="20"/>
        </w:rPr>
        <w:t xml:space="preserve">MT-SDT </w:t>
      </w:r>
      <w:r w:rsidR="00CC0108">
        <w:rPr>
          <w:rFonts w:ascii="Times New Roman" w:hAnsi="Times New Roman" w:cs="Times New Roman"/>
          <w:sz w:val="20"/>
          <w:szCs w:val="20"/>
        </w:rPr>
        <w:t xml:space="preserve">procedure </w:t>
      </w:r>
      <w:r w:rsidR="006043E1">
        <w:rPr>
          <w:rFonts w:ascii="Times New Roman" w:hAnsi="Times New Roman" w:cs="Times New Roman"/>
          <w:sz w:val="20"/>
          <w:szCs w:val="20"/>
        </w:rPr>
        <w:t>by taking</w:t>
      </w:r>
      <w:r w:rsidR="008C530A">
        <w:rPr>
          <w:rFonts w:ascii="Times New Roman" w:hAnsi="Times New Roman" w:cs="Times New Roman"/>
          <w:sz w:val="20"/>
          <w:szCs w:val="20"/>
        </w:rPr>
        <w:t xml:space="preserve"> </w:t>
      </w:r>
      <w:r w:rsidR="006043E1">
        <w:rPr>
          <w:rFonts w:ascii="Times New Roman" w:hAnsi="Times New Roman" w:cs="Times New Roman"/>
          <w:sz w:val="20"/>
          <w:szCs w:val="20"/>
        </w:rPr>
        <w:t xml:space="preserve">the 4-step RACH as example </w:t>
      </w:r>
      <w:r w:rsidR="008C530A">
        <w:rPr>
          <w:rFonts w:ascii="Times New Roman" w:hAnsi="Times New Roman" w:cs="Times New Roman"/>
          <w:sz w:val="20"/>
          <w:szCs w:val="20"/>
        </w:rPr>
        <w:t>shown in the Figure 1.</w:t>
      </w:r>
    </w:p>
    <w:p w14:paraId="7E2930DE" w14:textId="3A6F7345" w:rsidR="00FF3A32" w:rsidRDefault="00FF3A32" w:rsidP="00205A83">
      <w:pPr>
        <w:rPr>
          <w:rFonts w:ascii="Times New Roman" w:hAnsi="Times New Roman" w:cs="Times New Roman"/>
          <w:sz w:val="20"/>
          <w:szCs w:val="20"/>
        </w:rPr>
      </w:pPr>
    </w:p>
    <w:p w14:paraId="60A603BE" w14:textId="6EDF3BB4" w:rsidR="00574E3B" w:rsidRDefault="003C7760" w:rsidP="00205A83">
      <w:pP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05025F02" wp14:editId="5308EE3A">
            <wp:extent cx="5274310" cy="3338830"/>
            <wp:effectExtent l="0" t="0" r="2540" b="0"/>
            <wp:docPr id="6" name="圖片 6" descr="一張含有 文字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6" descr="一張含有 文字 的圖片&#10;&#10;自動產生的描述"/>
                    <pic:cNvPicPr/>
                  </pic:nvPicPr>
                  <pic:blipFill>
                    <a:blip r:embed="rId8" cstate="print">
                      <a:extLst>
                        <a:ext uri="{28A0092B-C50C-407E-A947-70E740481C1C}">
                          <a14:useLocalDpi xmlns:a14="http://schemas.microsoft.com/office/drawing/2010/main" val="0"/>
                        </a:ext>
                      </a:extLst>
                    </a:blip>
                    <a:stretch>
                      <a:fillRect/>
                    </a:stretch>
                  </pic:blipFill>
                  <pic:spPr>
                    <a:xfrm>
                      <a:off x="0" y="0"/>
                      <a:ext cx="5274310" cy="3338830"/>
                    </a:xfrm>
                    <a:prstGeom prst="rect">
                      <a:avLst/>
                    </a:prstGeom>
                  </pic:spPr>
                </pic:pic>
              </a:graphicData>
            </a:graphic>
          </wp:inline>
        </w:drawing>
      </w:r>
    </w:p>
    <w:p w14:paraId="4DB7D4C1" w14:textId="2D0641F8" w:rsidR="00574E3B" w:rsidRDefault="0012552A" w:rsidP="0012552A">
      <w:pPr>
        <w:jc w:val="cente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igure 1. </w:t>
      </w:r>
      <w:r w:rsidR="003C7760">
        <w:rPr>
          <w:rFonts w:ascii="Times New Roman" w:hAnsi="Times New Roman" w:cs="Times New Roman"/>
          <w:sz w:val="20"/>
          <w:szCs w:val="20"/>
        </w:rPr>
        <w:t>RA-based</w:t>
      </w:r>
      <w:r>
        <w:rPr>
          <w:rFonts w:ascii="Times New Roman" w:hAnsi="Times New Roman" w:cs="Times New Roman"/>
          <w:sz w:val="20"/>
          <w:szCs w:val="20"/>
        </w:rPr>
        <w:t xml:space="preserve"> MT-SDT procedure</w:t>
      </w:r>
      <w:r w:rsidR="00CC0108">
        <w:rPr>
          <w:rFonts w:ascii="Times New Roman" w:hAnsi="Times New Roman" w:cs="Times New Roman"/>
          <w:sz w:val="20"/>
          <w:szCs w:val="20"/>
        </w:rPr>
        <w:t xml:space="preserve"> baseline</w:t>
      </w:r>
      <w:r>
        <w:rPr>
          <w:rFonts w:ascii="Times New Roman" w:hAnsi="Times New Roman" w:cs="Times New Roman"/>
          <w:sz w:val="20"/>
          <w:szCs w:val="20"/>
        </w:rPr>
        <w:t xml:space="preserve"> proposal</w:t>
      </w:r>
    </w:p>
    <w:p w14:paraId="10954164" w14:textId="6828C7CA" w:rsidR="00574E3B" w:rsidRDefault="00574E3B" w:rsidP="00205A83">
      <w:pPr>
        <w:rPr>
          <w:rFonts w:ascii="Times New Roman" w:hAnsi="Times New Roman" w:cs="Times New Roman"/>
          <w:sz w:val="20"/>
          <w:szCs w:val="20"/>
        </w:rPr>
      </w:pPr>
    </w:p>
    <w:p w14:paraId="7F8585A4" w14:textId="36F5F393" w:rsidR="003C7760" w:rsidRDefault="003C7760" w:rsidP="00205A83">
      <w:pPr>
        <w:rPr>
          <w:rFonts w:ascii="Times New Roman" w:hAnsi="Times New Roman" w:cs="Times New Roman"/>
          <w:sz w:val="20"/>
          <w:szCs w:val="20"/>
        </w:rPr>
      </w:pPr>
      <w:r>
        <w:rPr>
          <w:rFonts w:ascii="Times New Roman" w:hAnsi="Times New Roman" w:cs="Times New Roman"/>
          <w:sz w:val="20"/>
          <w:szCs w:val="20"/>
        </w:rPr>
        <w:t xml:space="preserve">The </w:t>
      </w:r>
      <w:r w:rsidR="00CC0108">
        <w:rPr>
          <w:rFonts w:ascii="Times New Roman" w:hAnsi="Times New Roman" w:cs="Times New Roman"/>
          <w:sz w:val="20"/>
          <w:szCs w:val="20"/>
        </w:rPr>
        <w:t>baseline</w:t>
      </w:r>
      <w:r>
        <w:rPr>
          <w:rFonts w:ascii="Times New Roman" w:hAnsi="Times New Roman" w:cs="Times New Roman"/>
          <w:sz w:val="20"/>
          <w:szCs w:val="20"/>
        </w:rPr>
        <w:t xml:space="preserve"> for CG-based MT-SDT </w:t>
      </w:r>
      <w:r w:rsidR="00CC0108">
        <w:rPr>
          <w:rFonts w:ascii="Times New Roman" w:hAnsi="Times New Roman" w:cs="Times New Roman"/>
          <w:sz w:val="20"/>
          <w:szCs w:val="20"/>
        </w:rPr>
        <w:t xml:space="preserve">procedure </w:t>
      </w:r>
      <w:r>
        <w:rPr>
          <w:rFonts w:ascii="Times New Roman" w:hAnsi="Times New Roman" w:cs="Times New Roman"/>
          <w:sz w:val="20"/>
          <w:szCs w:val="20"/>
        </w:rPr>
        <w:t>is proposed as shown in the Figure 2.</w:t>
      </w:r>
    </w:p>
    <w:p w14:paraId="05A266E4" w14:textId="4251EA81" w:rsidR="003C7760" w:rsidRDefault="003C7760" w:rsidP="00205A83">
      <w:pPr>
        <w:rPr>
          <w:rFonts w:ascii="Times New Roman" w:hAnsi="Times New Roman" w:cs="Times New Roman"/>
          <w:sz w:val="20"/>
          <w:szCs w:val="20"/>
        </w:rPr>
      </w:pPr>
    </w:p>
    <w:p w14:paraId="5B9E411C" w14:textId="7FFB5F07" w:rsidR="003C7760" w:rsidRDefault="003C7760" w:rsidP="00205A83">
      <w:pP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6979991C" wp14:editId="3F72B59C">
            <wp:extent cx="5274310" cy="3335020"/>
            <wp:effectExtent l="0" t="0" r="2540" b="0"/>
            <wp:docPr id="7" name="圖片 7" descr="一張含有 文字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7" descr="一張含有 文字 的圖片&#10;&#10;自動產生的描述"/>
                    <pic:cNvPicPr/>
                  </pic:nvPicPr>
                  <pic:blipFill>
                    <a:blip r:embed="rId9" cstate="print">
                      <a:extLst>
                        <a:ext uri="{28A0092B-C50C-407E-A947-70E740481C1C}">
                          <a14:useLocalDpi xmlns:a14="http://schemas.microsoft.com/office/drawing/2010/main" val="0"/>
                        </a:ext>
                      </a:extLst>
                    </a:blip>
                    <a:stretch>
                      <a:fillRect/>
                    </a:stretch>
                  </pic:blipFill>
                  <pic:spPr>
                    <a:xfrm>
                      <a:off x="0" y="0"/>
                      <a:ext cx="5274310" cy="3335020"/>
                    </a:xfrm>
                    <a:prstGeom prst="rect">
                      <a:avLst/>
                    </a:prstGeom>
                  </pic:spPr>
                </pic:pic>
              </a:graphicData>
            </a:graphic>
          </wp:inline>
        </w:drawing>
      </w:r>
    </w:p>
    <w:p w14:paraId="06FB49D9" w14:textId="6EBF6516" w:rsidR="003C7760" w:rsidRDefault="003C7760" w:rsidP="003C7760">
      <w:pPr>
        <w:jc w:val="cente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igure </w:t>
      </w:r>
      <w:r w:rsidR="00CC0108">
        <w:rPr>
          <w:rFonts w:ascii="Times New Roman" w:hAnsi="Times New Roman" w:cs="Times New Roman"/>
          <w:sz w:val="20"/>
          <w:szCs w:val="20"/>
        </w:rPr>
        <w:t>2</w:t>
      </w:r>
      <w:r>
        <w:rPr>
          <w:rFonts w:ascii="Times New Roman" w:hAnsi="Times New Roman" w:cs="Times New Roman"/>
          <w:sz w:val="20"/>
          <w:szCs w:val="20"/>
        </w:rPr>
        <w:t>. CG-based MT-SDT procedure</w:t>
      </w:r>
      <w:r w:rsidR="00CC0108">
        <w:rPr>
          <w:rFonts w:ascii="Times New Roman" w:hAnsi="Times New Roman" w:cs="Times New Roman"/>
          <w:sz w:val="20"/>
          <w:szCs w:val="20"/>
        </w:rPr>
        <w:t xml:space="preserve"> baseline</w:t>
      </w:r>
      <w:r>
        <w:rPr>
          <w:rFonts w:ascii="Times New Roman" w:hAnsi="Times New Roman" w:cs="Times New Roman"/>
          <w:sz w:val="20"/>
          <w:szCs w:val="20"/>
        </w:rPr>
        <w:t xml:space="preserve"> proposal</w:t>
      </w:r>
    </w:p>
    <w:p w14:paraId="720D657C" w14:textId="148E2DF0" w:rsidR="003C7760" w:rsidRDefault="003C7760" w:rsidP="00205A83">
      <w:pPr>
        <w:rPr>
          <w:rFonts w:ascii="Times New Roman" w:hAnsi="Times New Roman" w:cs="Times New Roman"/>
          <w:sz w:val="20"/>
          <w:szCs w:val="20"/>
        </w:rPr>
      </w:pPr>
    </w:p>
    <w:p w14:paraId="6051DB62" w14:textId="63BE61CC" w:rsidR="00CC0108" w:rsidRPr="005B02FE" w:rsidRDefault="00CC0108" w:rsidP="00CC0108">
      <w:pPr>
        <w:pStyle w:val="a3"/>
        <w:numPr>
          <w:ilvl w:val="0"/>
          <w:numId w:val="6"/>
        </w:numPr>
        <w:ind w:leftChars="0" w:left="1418" w:hanging="1418"/>
        <w:rPr>
          <w:rFonts w:ascii="Times New Roman" w:hAnsi="Times New Roman" w:cs="Times New Roman"/>
          <w:sz w:val="20"/>
          <w:szCs w:val="20"/>
        </w:rPr>
      </w:pPr>
      <w:r>
        <w:rPr>
          <w:rFonts w:ascii="Times New Roman" w:hAnsi="Times New Roman" w:cs="Times New Roman"/>
          <w:b/>
          <w:bCs/>
          <w:sz w:val="20"/>
          <w:szCs w:val="20"/>
        </w:rPr>
        <w:t>There is no overall procedure figure for CG-based SDT in TS 38.300</w:t>
      </w:r>
      <w:r w:rsidRPr="005B02FE">
        <w:rPr>
          <w:rFonts w:ascii="Times New Roman" w:hAnsi="Times New Roman" w:cs="Times New Roman"/>
          <w:b/>
          <w:bCs/>
          <w:sz w:val="20"/>
          <w:szCs w:val="20"/>
        </w:rPr>
        <w:t>.</w:t>
      </w:r>
    </w:p>
    <w:p w14:paraId="2D851A5E" w14:textId="19BACC18" w:rsidR="00CC0108" w:rsidRDefault="00CC0108" w:rsidP="00205A83">
      <w:pPr>
        <w:rPr>
          <w:rFonts w:ascii="Times New Roman" w:hAnsi="Times New Roman" w:cs="Times New Roman"/>
          <w:sz w:val="20"/>
          <w:szCs w:val="20"/>
        </w:rPr>
      </w:pPr>
    </w:p>
    <w:p w14:paraId="59E84F71" w14:textId="7D1A13D1" w:rsidR="00CC0108" w:rsidRPr="0064741D" w:rsidRDefault="00CC0108" w:rsidP="00CC0108">
      <w:pPr>
        <w:pStyle w:val="a3"/>
        <w:widowControl/>
        <w:numPr>
          <w:ilvl w:val="0"/>
          <w:numId w:val="7"/>
        </w:numPr>
        <w:overflowPunct w:val="0"/>
        <w:autoSpaceDE w:val="0"/>
        <w:autoSpaceDN w:val="0"/>
        <w:adjustRightInd w:val="0"/>
        <w:spacing w:after="180"/>
        <w:ind w:leftChars="0" w:left="1134" w:hanging="1134"/>
        <w:contextualSpacing/>
        <w:rPr>
          <w:rFonts w:ascii="Times New Roman" w:eastAsia="新細明體" w:hAnsi="Times New Roman" w:cs="Times New Roman"/>
          <w:b/>
          <w:bCs/>
          <w:sz w:val="20"/>
          <w:szCs w:val="20"/>
        </w:rPr>
      </w:pPr>
      <w:r>
        <w:rPr>
          <w:rFonts w:ascii="Times New Roman" w:eastAsia="新細明體" w:hAnsi="Times New Roman" w:cs="Times New Roman"/>
          <w:b/>
          <w:bCs/>
          <w:sz w:val="20"/>
          <w:szCs w:val="20"/>
        </w:rPr>
        <w:t xml:space="preserve">Take Figure </w:t>
      </w:r>
      <w:r w:rsidR="005E6D36">
        <w:rPr>
          <w:rFonts w:ascii="Times New Roman" w:eastAsia="新細明體" w:hAnsi="Times New Roman" w:cs="Times New Roman"/>
          <w:b/>
          <w:bCs/>
          <w:sz w:val="20"/>
          <w:szCs w:val="20"/>
        </w:rPr>
        <w:t xml:space="preserve">1 and </w:t>
      </w:r>
      <w:r>
        <w:rPr>
          <w:rFonts w:ascii="Times New Roman" w:eastAsia="新細明體" w:hAnsi="Times New Roman" w:cs="Times New Roman"/>
          <w:b/>
          <w:bCs/>
          <w:sz w:val="20"/>
          <w:szCs w:val="20"/>
        </w:rPr>
        <w:t xml:space="preserve">2 </w:t>
      </w:r>
      <w:r w:rsidR="00361D83">
        <w:rPr>
          <w:rFonts w:ascii="Times New Roman" w:eastAsia="新細明體" w:hAnsi="Times New Roman" w:cs="Times New Roman"/>
          <w:b/>
          <w:bCs/>
          <w:sz w:val="20"/>
          <w:szCs w:val="20"/>
        </w:rPr>
        <w:t xml:space="preserve">in R2-2212839 </w:t>
      </w:r>
      <w:r>
        <w:rPr>
          <w:rFonts w:ascii="Times New Roman" w:eastAsia="新細明體" w:hAnsi="Times New Roman" w:cs="Times New Roman"/>
          <w:b/>
          <w:bCs/>
          <w:sz w:val="20"/>
          <w:szCs w:val="20"/>
        </w:rPr>
        <w:t xml:space="preserve">as the baseline for overall </w:t>
      </w:r>
      <w:r w:rsidR="005E6D36">
        <w:rPr>
          <w:rFonts w:ascii="Times New Roman" w:eastAsia="新細明體" w:hAnsi="Times New Roman" w:cs="Times New Roman"/>
          <w:b/>
          <w:bCs/>
          <w:sz w:val="20"/>
          <w:szCs w:val="20"/>
        </w:rPr>
        <w:t>RA-/</w:t>
      </w:r>
      <w:r>
        <w:rPr>
          <w:rFonts w:ascii="Times New Roman" w:eastAsia="新細明體" w:hAnsi="Times New Roman" w:cs="Times New Roman"/>
          <w:b/>
          <w:bCs/>
          <w:sz w:val="20"/>
          <w:szCs w:val="20"/>
        </w:rPr>
        <w:t>CG-based SDT procedure figure in the stage 2 specification.</w:t>
      </w:r>
    </w:p>
    <w:p w14:paraId="7B336C9B" w14:textId="77777777" w:rsidR="003C7760" w:rsidRDefault="003C7760" w:rsidP="00205A83">
      <w:pPr>
        <w:rPr>
          <w:rFonts w:ascii="Times New Roman" w:hAnsi="Times New Roman" w:cs="Times New Roman"/>
          <w:sz w:val="20"/>
          <w:szCs w:val="20"/>
        </w:rPr>
      </w:pPr>
    </w:p>
    <w:p w14:paraId="6CD24BC0" w14:textId="7120EDE7" w:rsidR="00AA2A24" w:rsidRDefault="00C261FD" w:rsidP="00D867BF">
      <w:pPr>
        <w:pStyle w:val="a3"/>
        <w:numPr>
          <w:ilvl w:val="1"/>
          <w:numId w:val="2"/>
        </w:numPr>
        <w:ind w:leftChars="0" w:left="709" w:hanging="709"/>
        <w:outlineLvl w:val="1"/>
        <w:rPr>
          <w:rFonts w:ascii="Arial" w:hAnsi="Arial" w:cs="Arial"/>
          <w:sz w:val="32"/>
          <w:szCs w:val="32"/>
        </w:rPr>
      </w:pPr>
      <w:r>
        <w:rPr>
          <w:rFonts w:ascii="Arial" w:hAnsi="Arial" w:cs="Arial"/>
          <w:sz w:val="32"/>
          <w:szCs w:val="32"/>
        </w:rPr>
        <w:t>Prerequisites</w:t>
      </w:r>
      <w:r w:rsidR="007A56B5">
        <w:rPr>
          <w:rFonts w:ascii="Arial" w:hAnsi="Arial" w:cs="Arial"/>
          <w:sz w:val="32"/>
          <w:szCs w:val="32"/>
        </w:rPr>
        <w:t xml:space="preserve"> (Preparation phase)</w:t>
      </w:r>
    </w:p>
    <w:p w14:paraId="1C829698" w14:textId="6A6BE123" w:rsidR="00EA081F" w:rsidRDefault="00C261FD" w:rsidP="00AA2A24">
      <w:pPr>
        <w:rPr>
          <w:rFonts w:ascii="Times New Roman" w:hAnsi="Times New Roman" w:cs="Times New Roman"/>
          <w:sz w:val="20"/>
          <w:szCs w:val="20"/>
        </w:rPr>
      </w:pPr>
      <w:r>
        <w:rPr>
          <w:rFonts w:ascii="Times New Roman" w:hAnsi="Times New Roman" w:cs="Times New Roman"/>
          <w:sz w:val="20"/>
          <w:szCs w:val="20"/>
        </w:rPr>
        <w:t xml:space="preserve">Before the step 0 in the Figure 1, the </w:t>
      </w:r>
      <w:r w:rsidRPr="00C261FD">
        <w:rPr>
          <w:rFonts w:ascii="Times New Roman" w:hAnsi="Times New Roman" w:cs="Times New Roman"/>
          <w:i/>
          <w:iCs/>
          <w:sz w:val="20"/>
          <w:szCs w:val="20"/>
        </w:rPr>
        <w:t>sdt-ConfigCommon</w:t>
      </w:r>
      <w:r>
        <w:rPr>
          <w:rFonts w:ascii="Times New Roman" w:hAnsi="Times New Roman" w:cs="Times New Roman"/>
          <w:sz w:val="20"/>
          <w:szCs w:val="20"/>
        </w:rPr>
        <w:t xml:space="preserve"> in the SIB1 should be reused for MT-SDT because MO-SDT transmission could be used for UL response.</w:t>
      </w:r>
    </w:p>
    <w:p w14:paraId="17A250FE" w14:textId="3FF8470E" w:rsidR="00EA081F" w:rsidRDefault="00EA081F" w:rsidP="00AA2A24">
      <w:pPr>
        <w:rPr>
          <w:rFonts w:ascii="Times New Roman" w:hAnsi="Times New Roman" w:cs="Times New Roman"/>
          <w:sz w:val="20"/>
          <w:szCs w:val="20"/>
        </w:rPr>
      </w:pPr>
    </w:p>
    <w:p w14:paraId="32CAABA5" w14:textId="0682E606" w:rsidR="00496C1D" w:rsidRPr="00496C1D" w:rsidRDefault="00C261FD" w:rsidP="00AA2A24">
      <w:pP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or step 0 in the Figure 1, the Layer 2 DRB and/or SRB configuration</w:t>
      </w:r>
      <w:r w:rsidR="00E35D47">
        <w:rPr>
          <w:rFonts w:ascii="Times New Roman" w:hAnsi="Times New Roman" w:cs="Times New Roman" w:hint="eastAsia"/>
          <w:sz w:val="20"/>
          <w:szCs w:val="20"/>
        </w:rPr>
        <w:t>,</w:t>
      </w:r>
      <w:r w:rsidR="00E35D47">
        <w:rPr>
          <w:rFonts w:ascii="Times New Roman" w:hAnsi="Times New Roman" w:cs="Times New Roman"/>
          <w:sz w:val="20"/>
          <w:szCs w:val="20"/>
        </w:rPr>
        <w:t xml:space="preserve"> and CG-based configurations for initial BWP</w:t>
      </w:r>
      <w:r>
        <w:rPr>
          <w:rFonts w:ascii="Times New Roman" w:hAnsi="Times New Roman" w:cs="Times New Roman"/>
          <w:sz w:val="20"/>
          <w:szCs w:val="20"/>
        </w:rPr>
        <w:t xml:space="preserve"> in the </w:t>
      </w:r>
      <w:r w:rsidRPr="00C261FD">
        <w:rPr>
          <w:rFonts w:ascii="Times New Roman" w:hAnsi="Times New Roman" w:cs="Times New Roman"/>
          <w:i/>
          <w:iCs/>
          <w:sz w:val="20"/>
          <w:szCs w:val="20"/>
        </w:rPr>
        <w:t>sdt-Config</w:t>
      </w:r>
      <w:r>
        <w:rPr>
          <w:rFonts w:ascii="Times New Roman" w:hAnsi="Times New Roman" w:cs="Times New Roman"/>
          <w:sz w:val="20"/>
          <w:szCs w:val="20"/>
        </w:rPr>
        <w:t xml:space="preserve"> of the </w:t>
      </w:r>
      <w:r w:rsidRPr="00C261FD">
        <w:rPr>
          <w:rFonts w:ascii="Times New Roman" w:hAnsi="Times New Roman" w:cs="Times New Roman"/>
          <w:i/>
          <w:iCs/>
          <w:sz w:val="20"/>
          <w:szCs w:val="20"/>
        </w:rPr>
        <w:t>suspendConfig</w:t>
      </w:r>
      <w:r>
        <w:rPr>
          <w:rFonts w:ascii="Times New Roman" w:hAnsi="Times New Roman" w:cs="Times New Roman"/>
          <w:sz w:val="20"/>
          <w:szCs w:val="20"/>
        </w:rPr>
        <w:t xml:space="preserve"> shall be set before the UE transits to RRC_INACTIVE because the UE needs to know how to expect the first MT data/signaling.</w:t>
      </w:r>
    </w:p>
    <w:p w14:paraId="6877FED4" w14:textId="1B340E6C" w:rsidR="00C261FD" w:rsidRPr="002D6824" w:rsidRDefault="00C261FD" w:rsidP="00C261FD">
      <w:pPr>
        <w:rPr>
          <w:rFonts w:ascii="Times New Roman" w:hAnsi="Times New Roman" w:cs="Times New Roman"/>
          <w:sz w:val="20"/>
          <w:szCs w:val="20"/>
        </w:rPr>
      </w:pPr>
    </w:p>
    <w:p w14:paraId="7E890032" w14:textId="1B06F05C" w:rsidR="002D6824" w:rsidRPr="0064741D" w:rsidRDefault="00E35D47" w:rsidP="002D6824">
      <w:pPr>
        <w:pStyle w:val="a3"/>
        <w:widowControl/>
        <w:numPr>
          <w:ilvl w:val="0"/>
          <w:numId w:val="7"/>
        </w:numPr>
        <w:overflowPunct w:val="0"/>
        <w:autoSpaceDE w:val="0"/>
        <w:autoSpaceDN w:val="0"/>
        <w:adjustRightInd w:val="0"/>
        <w:spacing w:after="180"/>
        <w:ind w:leftChars="0" w:left="1134" w:hanging="1134"/>
        <w:contextualSpacing/>
        <w:rPr>
          <w:rFonts w:ascii="Times New Roman" w:eastAsia="新細明體" w:hAnsi="Times New Roman" w:cs="Times New Roman"/>
          <w:b/>
          <w:bCs/>
          <w:sz w:val="20"/>
          <w:szCs w:val="20"/>
        </w:rPr>
      </w:pPr>
      <w:r>
        <w:rPr>
          <w:rFonts w:ascii="Times New Roman" w:eastAsia="新細明體" w:hAnsi="Times New Roman" w:cs="Times New Roman"/>
          <w:b/>
          <w:bCs/>
          <w:sz w:val="20"/>
          <w:szCs w:val="20"/>
        </w:rPr>
        <w:t xml:space="preserve">Rel-17 Layer 2 and </w:t>
      </w:r>
      <w:r w:rsidR="002D6824">
        <w:rPr>
          <w:rFonts w:ascii="Times New Roman" w:eastAsia="新細明體" w:hAnsi="Times New Roman" w:cs="Times New Roman"/>
          <w:b/>
          <w:bCs/>
          <w:sz w:val="20"/>
          <w:szCs w:val="20"/>
        </w:rPr>
        <w:t>CG-based configuration</w:t>
      </w:r>
      <w:r>
        <w:rPr>
          <w:rFonts w:ascii="Times New Roman" w:eastAsia="新細明體" w:hAnsi="Times New Roman" w:cs="Times New Roman"/>
          <w:b/>
          <w:bCs/>
          <w:sz w:val="20"/>
          <w:szCs w:val="20"/>
        </w:rPr>
        <w:t>s</w:t>
      </w:r>
      <w:r w:rsidR="002D6824">
        <w:rPr>
          <w:rFonts w:ascii="Times New Roman" w:eastAsia="新細明體" w:hAnsi="Times New Roman" w:cs="Times New Roman"/>
          <w:b/>
          <w:bCs/>
          <w:sz w:val="20"/>
          <w:szCs w:val="20"/>
        </w:rPr>
        <w:t xml:space="preserve"> </w:t>
      </w:r>
      <w:r>
        <w:rPr>
          <w:rFonts w:ascii="Times New Roman" w:eastAsia="新細明體" w:hAnsi="Times New Roman" w:cs="Times New Roman"/>
          <w:b/>
          <w:bCs/>
          <w:sz w:val="20"/>
          <w:szCs w:val="20"/>
        </w:rPr>
        <w:t>signaling</w:t>
      </w:r>
      <w:r w:rsidR="008C358C">
        <w:rPr>
          <w:rFonts w:ascii="Times New Roman" w:eastAsia="新細明體" w:hAnsi="Times New Roman" w:cs="Times New Roman"/>
          <w:b/>
          <w:bCs/>
          <w:sz w:val="20"/>
          <w:szCs w:val="20"/>
        </w:rPr>
        <w:t xml:space="preserve"> in </w:t>
      </w:r>
      <w:r w:rsidR="008C358C" w:rsidRPr="008C358C">
        <w:rPr>
          <w:rFonts w:ascii="Times New Roman" w:eastAsia="新細明體" w:hAnsi="Times New Roman" w:cs="Times New Roman"/>
          <w:b/>
          <w:bCs/>
          <w:i/>
          <w:iCs/>
          <w:sz w:val="20"/>
          <w:szCs w:val="20"/>
        </w:rPr>
        <w:t>suspendConfig</w:t>
      </w:r>
      <w:r>
        <w:rPr>
          <w:rFonts w:ascii="Times New Roman" w:eastAsia="新細明體" w:hAnsi="Times New Roman" w:cs="Times New Roman"/>
          <w:b/>
          <w:bCs/>
          <w:sz w:val="20"/>
          <w:szCs w:val="20"/>
        </w:rPr>
        <w:t xml:space="preserve"> </w:t>
      </w:r>
      <w:r w:rsidR="008C358C">
        <w:rPr>
          <w:rFonts w:ascii="Times New Roman" w:eastAsia="新細明體" w:hAnsi="Times New Roman" w:cs="Times New Roman"/>
          <w:b/>
          <w:bCs/>
          <w:sz w:val="20"/>
          <w:szCs w:val="20"/>
        </w:rPr>
        <w:t>are</w:t>
      </w:r>
      <w:r>
        <w:rPr>
          <w:rFonts w:ascii="Times New Roman" w:eastAsia="新細明體" w:hAnsi="Times New Roman" w:cs="Times New Roman"/>
          <w:b/>
          <w:bCs/>
          <w:sz w:val="20"/>
          <w:szCs w:val="20"/>
        </w:rPr>
        <w:t xml:space="preserve"> reused for Rel-18 MT-SDT procedure</w:t>
      </w:r>
      <w:r w:rsidR="002D6824">
        <w:rPr>
          <w:rFonts w:ascii="Times New Roman" w:eastAsia="新細明體" w:hAnsi="Times New Roman" w:cs="Times New Roman"/>
          <w:b/>
          <w:bCs/>
          <w:sz w:val="20"/>
          <w:szCs w:val="20"/>
        </w:rPr>
        <w:t>.</w:t>
      </w:r>
    </w:p>
    <w:p w14:paraId="3E6D13DA" w14:textId="77777777" w:rsidR="00C261FD" w:rsidRPr="00B63ECD" w:rsidRDefault="00C261FD" w:rsidP="00C261FD">
      <w:pPr>
        <w:rPr>
          <w:rFonts w:ascii="Times New Roman" w:hAnsi="Times New Roman" w:cs="Times New Roman"/>
          <w:sz w:val="20"/>
          <w:szCs w:val="20"/>
          <w:lang w:val="en-GB"/>
        </w:rPr>
      </w:pPr>
    </w:p>
    <w:p w14:paraId="5CAF2BB1" w14:textId="573F84D3" w:rsidR="003121EC" w:rsidRDefault="007A56B5" w:rsidP="00D867BF">
      <w:pPr>
        <w:pStyle w:val="a3"/>
        <w:numPr>
          <w:ilvl w:val="1"/>
          <w:numId w:val="2"/>
        </w:numPr>
        <w:ind w:leftChars="0" w:left="709" w:hanging="709"/>
        <w:outlineLvl w:val="1"/>
        <w:rPr>
          <w:rFonts w:ascii="Arial" w:hAnsi="Arial" w:cs="Arial"/>
          <w:sz w:val="32"/>
          <w:szCs w:val="32"/>
        </w:rPr>
      </w:pPr>
      <w:r>
        <w:rPr>
          <w:rFonts w:ascii="Arial" w:hAnsi="Arial" w:cs="Arial"/>
          <w:sz w:val="32"/>
          <w:szCs w:val="32"/>
        </w:rPr>
        <w:lastRenderedPageBreak/>
        <w:t>Initiation</w:t>
      </w:r>
    </w:p>
    <w:p w14:paraId="54DA6C8B" w14:textId="46ADFEC0" w:rsidR="0092699A" w:rsidRDefault="007A56B5" w:rsidP="0027790E">
      <w:pPr>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 xml:space="preserve">he MT-SDT procedure in RRC_INACTIVE shall be triggered by </w:t>
      </w:r>
      <w:r w:rsidR="00062F09">
        <w:rPr>
          <w:rFonts w:ascii="Times New Roman" w:hAnsi="Times New Roman" w:cs="Times New Roman"/>
          <w:sz w:val="20"/>
          <w:szCs w:val="20"/>
        </w:rPr>
        <w:t>RRC p</w:t>
      </w:r>
      <w:r>
        <w:rPr>
          <w:rFonts w:ascii="Times New Roman" w:hAnsi="Times New Roman" w:cs="Times New Roman"/>
          <w:sz w:val="20"/>
          <w:szCs w:val="20"/>
        </w:rPr>
        <w:t>aging</w:t>
      </w:r>
      <w:r w:rsidR="00062F09">
        <w:rPr>
          <w:rFonts w:ascii="Times New Roman" w:hAnsi="Times New Roman" w:cs="Times New Roman"/>
          <w:sz w:val="20"/>
          <w:szCs w:val="20"/>
        </w:rPr>
        <w:t xml:space="preserve"> message</w:t>
      </w:r>
      <w:r>
        <w:rPr>
          <w:rFonts w:ascii="Times New Roman" w:hAnsi="Times New Roman" w:cs="Times New Roman"/>
          <w:sz w:val="20"/>
          <w:szCs w:val="20"/>
        </w:rPr>
        <w:t xml:space="preserve"> at RAN level therefore we think it is necessary to have a new MT-SDT indication in the RAN Paging. 1 bit overhead is expected but it is subject to the stage-3 design.</w:t>
      </w:r>
    </w:p>
    <w:p w14:paraId="75D16AC9" w14:textId="3F5A20BC" w:rsidR="007A56B5" w:rsidRDefault="007A56B5" w:rsidP="0027790E">
      <w:pPr>
        <w:rPr>
          <w:rFonts w:ascii="Times New Roman" w:hAnsi="Times New Roman" w:cs="Times New Roman"/>
          <w:sz w:val="20"/>
          <w:szCs w:val="20"/>
        </w:rPr>
      </w:pPr>
    </w:p>
    <w:p w14:paraId="37C49870" w14:textId="5A29C489" w:rsidR="007A56B5" w:rsidRPr="0064741D" w:rsidRDefault="005374DB" w:rsidP="007A56B5">
      <w:pPr>
        <w:pStyle w:val="a3"/>
        <w:widowControl/>
        <w:numPr>
          <w:ilvl w:val="0"/>
          <w:numId w:val="7"/>
        </w:numPr>
        <w:overflowPunct w:val="0"/>
        <w:autoSpaceDE w:val="0"/>
        <w:autoSpaceDN w:val="0"/>
        <w:adjustRightInd w:val="0"/>
        <w:spacing w:after="180"/>
        <w:ind w:leftChars="0" w:left="1134" w:hanging="1134"/>
        <w:contextualSpacing/>
        <w:rPr>
          <w:rFonts w:ascii="Times New Roman" w:eastAsia="新細明體" w:hAnsi="Times New Roman" w:cs="Times New Roman"/>
          <w:b/>
          <w:bCs/>
          <w:sz w:val="20"/>
          <w:szCs w:val="20"/>
        </w:rPr>
      </w:pPr>
      <w:r>
        <w:rPr>
          <w:rFonts w:ascii="Times New Roman" w:eastAsia="新細明體" w:hAnsi="Times New Roman" w:cs="Times New Roman"/>
          <w:b/>
          <w:bCs/>
          <w:sz w:val="20"/>
          <w:szCs w:val="20"/>
        </w:rPr>
        <w:t>To add a</w:t>
      </w:r>
      <w:r w:rsidR="007A56B5">
        <w:rPr>
          <w:rFonts w:ascii="Times New Roman" w:eastAsia="新細明體" w:hAnsi="Times New Roman" w:cs="Times New Roman"/>
          <w:b/>
          <w:bCs/>
          <w:sz w:val="20"/>
          <w:szCs w:val="20"/>
        </w:rPr>
        <w:t xml:space="preserve"> new MT-SDT indication in </w:t>
      </w:r>
      <w:r w:rsidR="007A56B5">
        <w:rPr>
          <w:rFonts w:ascii="Times New Roman" w:eastAsia="新細明體" w:hAnsi="Times New Roman" w:cs="Times New Roman"/>
          <w:b/>
          <w:bCs/>
          <w:i/>
          <w:iCs/>
          <w:sz w:val="20"/>
          <w:szCs w:val="20"/>
        </w:rPr>
        <w:t>PAGING</w:t>
      </w:r>
      <w:r w:rsidR="007A56B5">
        <w:rPr>
          <w:rFonts w:ascii="Times New Roman" w:eastAsia="新細明體" w:hAnsi="Times New Roman" w:cs="Times New Roman"/>
          <w:b/>
          <w:bCs/>
          <w:sz w:val="20"/>
          <w:szCs w:val="20"/>
        </w:rPr>
        <w:t xml:space="preserve"> for triggering MT-SDT procedure.</w:t>
      </w:r>
    </w:p>
    <w:p w14:paraId="52E873F0" w14:textId="77777777" w:rsidR="00926767" w:rsidRPr="00926767" w:rsidRDefault="00926767" w:rsidP="0027790E">
      <w:pPr>
        <w:rPr>
          <w:rFonts w:ascii="Times New Roman" w:hAnsi="Times New Roman" w:cs="Times New Roman"/>
          <w:sz w:val="20"/>
          <w:szCs w:val="20"/>
        </w:rPr>
      </w:pPr>
    </w:p>
    <w:p w14:paraId="774F991C" w14:textId="0D95DD0E" w:rsidR="0027790E" w:rsidRPr="0027790E" w:rsidRDefault="007A56B5" w:rsidP="00555338">
      <w:pPr>
        <w:pStyle w:val="a3"/>
        <w:numPr>
          <w:ilvl w:val="1"/>
          <w:numId w:val="2"/>
        </w:numPr>
        <w:ind w:leftChars="0"/>
        <w:outlineLvl w:val="1"/>
        <w:rPr>
          <w:rFonts w:ascii="Arial" w:hAnsi="Arial" w:cs="Arial"/>
          <w:sz w:val="32"/>
          <w:szCs w:val="32"/>
        </w:rPr>
      </w:pPr>
      <w:r>
        <w:rPr>
          <w:rFonts w:ascii="Arial" w:hAnsi="Arial" w:cs="Arial"/>
          <w:sz w:val="32"/>
          <w:szCs w:val="32"/>
        </w:rPr>
        <w:t>Transmission period</w:t>
      </w:r>
    </w:p>
    <w:p w14:paraId="3ED14761" w14:textId="0328127C" w:rsidR="000A15FA" w:rsidRPr="000A15FA" w:rsidRDefault="000A15FA" w:rsidP="00CF6691">
      <w:pPr>
        <w:pStyle w:val="a3"/>
        <w:numPr>
          <w:ilvl w:val="2"/>
          <w:numId w:val="2"/>
        </w:numPr>
        <w:ind w:leftChars="0" w:left="993" w:hanging="993"/>
        <w:outlineLvl w:val="2"/>
        <w:rPr>
          <w:rFonts w:ascii="Arial" w:hAnsi="Arial" w:cs="Arial"/>
          <w:sz w:val="28"/>
          <w:szCs w:val="28"/>
        </w:rPr>
      </w:pPr>
      <w:r w:rsidRPr="000A15FA">
        <w:rPr>
          <w:rFonts w:ascii="Arial" w:hAnsi="Arial" w:cs="Arial"/>
          <w:sz w:val="28"/>
          <w:szCs w:val="28"/>
        </w:rPr>
        <w:t>RA-based MT-SDT</w:t>
      </w:r>
    </w:p>
    <w:p w14:paraId="26D98633" w14:textId="5155F81B" w:rsidR="007D7E1C" w:rsidRDefault="005D6995" w:rsidP="003121EC">
      <w:pPr>
        <w:rPr>
          <w:rFonts w:ascii="Times New Roman" w:hAnsi="Times New Roman" w:cs="Times New Roman"/>
          <w:sz w:val="20"/>
          <w:szCs w:val="20"/>
        </w:rPr>
      </w:pPr>
      <w:r>
        <w:rPr>
          <w:rFonts w:ascii="Times New Roman" w:hAnsi="Times New Roman" w:cs="Times New Roman"/>
          <w:sz w:val="20"/>
          <w:szCs w:val="20"/>
        </w:rPr>
        <w:t xml:space="preserve">SDT associated PRACH resource shall be used by default but non-SDT associated one could be used if the first MT small data is </w:t>
      </w:r>
      <w:r w:rsidR="005D7800">
        <w:rPr>
          <w:rFonts w:ascii="Times New Roman" w:hAnsi="Times New Roman" w:cs="Times New Roman"/>
          <w:sz w:val="20"/>
          <w:szCs w:val="20"/>
        </w:rPr>
        <w:t xml:space="preserve">agreed to be </w:t>
      </w:r>
      <w:r>
        <w:rPr>
          <w:rFonts w:ascii="Times New Roman" w:hAnsi="Times New Roman" w:cs="Times New Roman"/>
          <w:sz w:val="20"/>
          <w:szCs w:val="20"/>
        </w:rPr>
        <w:t>transmitted and multiplexed with Msg4/MsgB.</w:t>
      </w:r>
    </w:p>
    <w:p w14:paraId="45E9CB61" w14:textId="73E94EE9" w:rsidR="005D6995" w:rsidRDefault="005D6995" w:rsidP="003121EC">
      <w:pPr>
        <w:rPr>
          <w:rFonts w:ascii="Times New Roman" w:hAnsi="Times New Roman" w:cs="Times New Roman"/>
          <w:sz w:val="20"/>
          <w:szCs w:val="20"/>
        </w:rPr>
      </w:pPr>
    </w:p>
    <w:p w14:paraId="588539E1" w14:textId="0EE775EF" w:rsidR="005D6995" w:rsidRDefault="005D6995" w:rsidP="003121EC">
      <w:pP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or one-shot MT-SDT scenario, it is more economic to use non-SDT PRACH resource and to multiplex the only MT small data with Msg4/MsgB. But the network is unable to know if any subsequent UL response would come from the UE so that it is still more flexible to use SDT associated PRACH resource and to transmit the first MT small data by DL grant before the Msg4/MsgB. Since there could be no UL data multiplexed with Msg3, how to handle the unused UL grant for Msg3 could be discussed further.</w:t>
      </w:r>
    </w:p>
    <w:p w14:paraId="66A10C40" w14:textId="142D17A3" w:rsidR="00F240D9" w:rsidRDefault="00F240D9" w:rsidP="003121EC">
      <w:pPr>
        <w:rPr>
          <w:rFonts w:ascii="Times New Roman" w:hAnsi="Times New Roman" w:cs="Times New Roman"/>
          <w:sz w:val="20"/>
          <w:szCs w:val="20"/>
        </w:rPr>
      </w:pPr>
    </w:p>
    <w:p w14:paraId="457DFEB2" w14:textId="3DBB8A02" w:rsidR="005D6995" w:rsidRPr="0064741D" w:rsidRDefault="005D6995" w:rsidP="005D6995">
      <w:pPr>
        <w:pStyle w:val="a3"/>
        <w:widowControl/>
        <w:numPr>
          <w:ilvl w:val="0"/>
          <w:numId w:val="7"/>
        </w:numPr>
        <w:overflowPunct w:val="0"/>
        <w:autoSpaceDE w:val="0"/>
        <w:autoSpaceDN w:val="0"/>
        <w:adjustRightInd w:val="0"/>
        <w:spacing w:after="180"/>
        <w:ind w:leftChars="0" w:left="1134" w:hanging="1134"/>
        <w:contextualSpacing/>
        <w:rPr>
          <w:rFonts w:ascii="Times New Roman" w:eastAsia="新細明體" w:hAnsi="Times New Roman" w:cs="Times New Roman"/>
          <w:b/>
          <w:bCs/>
          <w:sz w:val="20"/>
          <w:szCs w:val="20"/>
        </w:rPr>
      </w:pPr>
      <w:r>
        <w:rPr>
          <w:rFonts w:ascii="Times New Roman" w:eastAsia="新細明體" w:hAnsi="Times New Roman" w:cs="Times New Roman"/>
          <w:b/>
          <w:bCs/>
          <w:sz w:val="20"/>
          <w:szCs w:val="20"/>
        </w:rPr>
        <w:t>For RA-based MT-SDT, SDT associated PRACH resource is used for one-shot or multi-shot scenarios and the how to avoid unused UL grant for Msg3 can be discussed in Stage-3 either by UE-based or network-based solution.</w:t>
      </w:r>
    </w:p>
    <w:p w14:paraId="21365BF1" w14:textId="48547C07" w:rsidR="004770B8" w:rsidRDefault="004770B8" w:rsidP="003121EC">
      <w:pPr>
        <w:rPr>
          <w:rFonts w:ascii="Times New Roman" w:hAnsi="Times New Roman" w:cs="Times New Roman"/>
          <w:sz w:val="20"/>
          <w:szCs w:val="20"/>
        </w:rPr>
      </w:pPr>
    </w:p>
    <w:p w14:paraId="6C26ECD6" w14:textId="25C8CC95" w:rsidR="000A15FA" w:rsidRPr="000A15FA" w:rsidRDefault="000A15FA" w:rsidP="00CF6691">
      <w:pPr>
        <w:pStyle w:val="a3"/>
        <w:numPr>
          <w:ilvl w:val="2"/>
          <w:numId w:val="2"/>
        </w:numPr>
        <w:ind w:leftChars="0" w:left="993" w:hanging="993"/>
        <w:outlineLvl w:val="2"/>
        <w:rPr>
          <w:rFonts w:ascii="Arial" w:hAnsi="Arial" w:cs="Arial"/>
          <w:sz w:val="28"/>
          <w:szCs w:val="28"/>
        </w:rPr>
      </w:pPr>
      <w:r w:rsidRPr="000A15FA">
        <w:rPr>
          <w:rFonts w:ascii="Arial" w:hAnsi="Arial" w:cs="Arial" w:hint="eastAsia"/>
          <w:sz w:val="28"/>
          <w:szCs w:val="28"/>
        </w:rPr>
        <w:t>C</w:t>
      </w:r>
      <w:r w:rsidRPr="000A15FA">
        <w:rPr>
          <w:rFonts w:ascii="Arial" w:hAnsi="Arial" w:cs="Arial"/>
          <w:sz w:val="28"/>
          <w:szCs w:val="28"/>
        </w:rPr>
        <w:t>G-based MT-SDT</w:t>
      </w:r>
    </w:p>
    <w:p w14:paraId="6B8B0765" w14:textId="10D491DC" w:rsidR="00974642" w:rsidRDefault="0011175C" w:rsidP="00B11C17">
      <w:pPr>
        <w:rPr>
          <w:rFonts w:ascii="Times New Roman" w:hAnsi="Times New Roman" w:cs="Times New Roman"/>
          <w:sz w:val="20"/>
          <w:szCs w:val="20"/>
          <w:lang w:val="en-GB"/>
        </w:rPr>
      </w:pPr>
      <w:r>
        <w:rPr>
          <w:rFonts w:ascii="Times New Roman" w:hAnsi="Times New Roman" w:cs="Times New Roman"/>
          <w:sz w:val="20"/>
          <w:szCs w:val="20"/>
          <w:lang w:val="en-GB"/>
        </w:rPr>
        <w:t xml:space="preserve">The UE needs to send </w:t>
      </w:r>
      <w:r w:rsidRPr="0011175C">
        <w:rPr>
          <w:rFonts w:ascii="Times New Roman" w:hAnsi="Times New Roman" w:cs="Times New Roman"/>
          <w:i/>
          <w:iCs/>
          <w:sz w:val="20"/>
          <w:szCs w:val="20"/>
          <w:lang w:val="en-GB"/>
        </w:rPr>
        <w:t>RRCResumeRequest</w:t>
      </w:r>
      <w:r>
        <w:rPr>
          <w:rFonts w:ascii="Times New Roman" w:hAnsi="Times New Roman" w:cs="Times New Roman"/>
          <w:sz w:val="20"/>
          <w:szCs w:val="20"/>
          <w:lang w:val="en-GB"/>
        </w:rPr>
        <w:t xml:space="preserve"> by UL configured grant while no UL </w:t>
      </w:r>
      <w:r w:rsidR="00B77412">
        <w:rPr>
          <w:rFonts w:ascii="Times New Roman" w:hAnsi="Times New Roman" w:cs="Times New Roman"/>
          <w:sz w:val="20"/>
          <w:szCs w:val="20"/>
          <w:lang w:val="en-GB"/>
        </w:rPr>
        <w:t xml:space="preserve">small </w:t>
      </w:r>
      <w:r>
        <w:rPr>
          <w:rFonts w:ascii="Times New Roman" w:hAnsi="Times New Roman" w:cs="Times New Roman"/>
          <w:sz w:val="20"/>
          <w:szCs w:val="20"/>
          <w:lang w:val="en-GB"/>
        </w:rPr>
        <w:t>data multiplexed together, and this is the difference between MT-SDT and MO-SDT.</w:t>
      </w:r>
    </w:p>
    <w:p w14:paraId="6AEBF8AE" w14:textId="34FA1AAE" w:rsidR="00B11C17" w:rsidRDefault="00B11C17" w:rsidP="00E65E3B">
      <w:pPr>
        <w:rPr>
          <w:rFonts w:ascii="Times New Roman" w:hAnsi="Times New Roman" w:cs="Times New Roman"/>
          <w:sz w:val="20"/>
          <w:szCs w:val="20"/>
          <w:lang w:val="en-GB"/>
        </w:rPr>
      </w:pPr>
    </w:p>
    <w:p w14:paraId="6452D77C" w14:textId="7B97429D" w:rsidR="0011175C" w:rsidRPr="0064741D" w:rsidRDefault="0011175C" w:rsidP="0011175C">
      <w:pPr>
        <w:pStyle w:val="a3"/>
        <w:widowControl/>
        <w:numPr>
          <w:ilvl w:val="0"/>
          <w:numId w:val="7"/>
        </w:numPr>
        <w:overflowPunct w:val="0"/>
        <w:autoSpaceDE w:val="0"/>
        <w:autoSpaceDN w:val="0"/>
        <w:adjustRightInd w:val="0"/>
        <w:spacing w:after="180"/>
        <w:ind w:leftChars="0" w:left="1134" w:hanging="1134"/>
        <w:contextualSpacing/>
        <w:rPr>
          <w:rFonts w:ascii="Times New Roman" w:eastAsia="新細明體" w:hAnsi="Times New Roman" w:cs="Times New Roman"/>
          <w:b/>
          <w:bCs/>
          <w:sz w:val="20"/>
          <w:szCs w:val="20"/>
        </w:rPr>
      </w:pPr>
      <w:r>
        <w:rPr>
          <w:rFonts w:ascii="Times New Roman" w:eastAsia="新細明體" w:hAnsi="Times New Roman" w:cs="Times New Roman"/>
          <w:b/>
          <w:bCs/>
          <w:sz w:val="20"/>
          <w:szCs w:val="20"/>
        </w:rPr>
        <w:t>For CG-based MT-SDT, Rel-17 procedure can be reused.</w:t>
      </w:r>
    </w:p>
    <w:p w14:paraId="058FF887" w14:textId="0D65D7DC" w:rsidR="001829F9" w:rsidRDefault="001829F9" w:rsidP="00E65E3B">
      <w:pPr>
        <w:rPr>
          <w:rFonts w:ascii="Times New Roman" w:hAnsi="Times New Roman" w:cs="Times New Roman"/>
          <w:sz w:val="20"/>
          <w:szCs w:val="20"/>
          <w:lang w:val="en-GB"/>
        </w:rPr>
      </w:pPr>
    </w:p>
    <w:p w14:paraId="1716D430" w14:textId="5E2504FD" w:rsidR="0011175C" w:rsidRPr="0011175C" w:rsidRDefault="0011175C" w:rsidP="0011175C">
      <w:pPr>
        <w:pStyle w:val="a3"/>
        <w:numPr>
          <w:ilvl w:val="2"/>
          <w:numId w:val="2"/>
        </w:numPr>
        <w:ind w:leftChars="0" w:left="993" w:hanging="993"/>
        <w:outlineLvl w:val="2"/>
        <w:rPr>
          <w:rFonts w:ascii="Arial" w:hAnsi="Arial" w:cs="Arial"/>
          <w:sz w:val="28"/>
          <w:szCs w:val="28"/>
        </w:rPr>
      </w:pPr>
      <w:r w:rsidRPr="0011175C">
        <w:rPr>
          <w:rFonts w:ascii="Arial" w:hAnsi="Arial" w:cs="Arial" w:hint="eastAsia"/>
          <w:sz w:val="28"/>
          <w:szCs w:val="28"/>
        </w:rPr>
        <w:t>C</w:t>
      </w:r>
      <w:r w:rsidRPr="0011175C">
        <w:rPr>
          <w:rFonts w:ascii="Arial" w:hAnsi="Arial" w:cs="Arial"/>
          <w:sz w:val="28"/>
          <w:szCs w:val="28"/>
        </w:rPr>
        <w:t>oncurrent M</w:t>
      </w:r>
      <w:r w:rsidR="00B77412">
        <w:rPr>
          <w:rFonts w:ascii="Arial" w:hAnsi="Arial" w:cs="Arial"/>
          <w:sz w:val="28"/>
          <w:szCs w:val="28"/>
        </w:rPr>
        <w:t>O</w:t>
      </w:r>
      <w:r w:rsidRPr="0011175C">
        <w:rPr>
          <w:rFonts w:ascii="Arial" w:hAnsi="Arial" w:cs="Arial"/>
          <w:sz w:val="28"/>
          <w:szCs w:val="28"/>
        </w:rPr>
        <w:t xml:space="preserve"> and M</w:t>
      </w:r>
      <w:r w:rsidR="00B77412">
        <w:rPr>
          <w:rFonts w:ascii="Arial" w:hAnsi="Arial" w:cs="Arial"/>
          <w:sz w:val="28"/>
          <w:szCs w:val="28"/>
        </w:rPr>
        <w:t>T</w:t>
      </w:r>
      <w:r w:rsidRPr="0011175C">
        <w:rPr>
          <w:rFonts w:ascii="Arial" w:hAnsi="Arial" w:cs="Arial"/>
          <w:sz w:val="28"/>
          <w:szCs w:val="28"/>
        </w:rPr>
        <w:t xml:space="preserve"> SDT</w:t>
      </w:r>
      <w:r w:rsidR="00B77412">
        <w:rPr>
          <w:rFonts w:ascii="Arial" w:hAnsi="Arial" w:cs="Arial"/>
          <w:sz w:val="28"/>
          <w:szCs w:val="28"/>
        </w:rPr>
        <w:t xml:space="preserve"> procedures</w:t>
      </w:r>
    </w:p>
    <w:p w14:paraId="48B17676" w14:textId="23909408" w:rsidR="00AC70A7" w:rsidRDefault="00B77412" w:rsidP="00E65E3B">
      <w:pPr>
        <w:rPr>
          <w:rFonts w:ascii="Times New Roman" w:hAnsi="Times New Roman" w:cs="Times New Roman"/>
          <w:sz w:val="20"/>
          <w:szCs w:val="20"/>
          <w:lang w:val="en-GB"/>
        </w:rPr>
      </w:pPr>
      <w:r>
        <w:rPr>
          <w:rFonts w:ascii="Times New Roman" w:hAnsi="Times New Roman" w:cs="Times New Roman"/>
          <w:sz w:val="20"/>
          <w:szCs w:val="20"/>
          <w:lang w:val="en-GB"/>
        </w:rPr>
        <w:t>We understand that MO-SDT and MT-SDT procedure are standalone</w:t>
      </w:r>
      <w:r w:rsidR="009D643B">
        <w:rPr>
          <w:rFonts w:ascii="Times New Roman" w:hAnsi="Times New Roman" w:cs="Times New Roman"/>
          <w:sz w:val="20"/>
          <w:szCs w:val="20"/>
          <w:lang w:val="en-GB"/>
        </w:rPr>
        <w:t xml:space="preserve"> so that they can occur simultaneously no matter they are one-shot and/or multi-shot scenario. Since the signaling and/or data radio bearers are exclusively assigned to serve SDT purpose, and SDT associated PRACH resource or configured grant are allocated for SDT procedures, so we think MO-SDT and MT-SDT can share these resources and/or configurations</w:t>
      </w:r>
      <w:r w:rsidR="00140AD5">
        <w:rPr>
          <w:rFonts w:ascii="Times New Roman" w:hAnsi="Times New Roman" w:cs="Times New Roman"/>
          <w:sz w:val="20"/>
          <w:szCs w:val="20"/>
          <w:lang w:val="en-GB"/>
        </w:rPr>
        <w:t xml:space="preserve"> from the viewpoint of the UE.</w:t>
      </w:r>
      <w:r w:rsidR="004719A7">
        <w:rPr>
          <w:rFonts w:ascii="Times New Roman" w:hAnsi="Times New Roman" w:cs="Times New Roman"/>
          <w:sz w:val="20"/>
          <w:szCs w:val="20"/>
          <w:lang w:val="en-GB"/>
        </w:rPr>
        <w:t xml:space="preserve"> But we do not know whether the </w:t>
      </w:r>
      <w:r w:rsidR="004719A7">
        <w:rPr>
          <w:rFonts w:ascii="Times New Roman" w:hAnsi="Times New Roman" w:cs="Times New Roman"/>
          <w:sz w:val="20"/>
          <w:szCs w:val="20"/>
          <w:lang w:val="en-GB"/>
        </w:rPr>
        <w:lastRenderedPageBreak/>
        <w:t>network needs to distinguish them or not.</w:t>
      </w:r>
    </w:p>
    <w:p w14:paraId="6D8846FF" w14:textId="2F48992E" w:rsidR="00346415" w:rsidRDefault="00346415" w:rsidP="00E65E3B">
      <w:pPr>
        <w:rPr>
          <w:rFonts w:ascii="Times New Roman" w:hAnsi="Times New Roman" w:cs="Times New Roman"/>
          <w:sz w:val="20"/>
          <w:szCs w:val="20"/>
          <w:lang w:val="en-GB"/>
        </w:rPr>
      </w:pPr>
    </w:p>
    <w:p w14:paraId="675DF023" w14:textId="74AAC54F" w:rsidR="00855084" w:rsidRPr="0064741D" w:rsidRDefault="00855084" w:rsidP="00855084">
      <w:pPr>
        <w:pStyle w:val="a3"/>
        <w:widowControl/>
        <w:numPr>
          <w:ilvl w:val="0"/>
          <w:numId w:val="7"/>
        </w:numPr>
        <w:overflowPunct w:val="0"/>
        <w:autoSpaceDE w:val="0"/>
        <w:autoSpaceDN w:val="0"/>
        <w:adjustRightInd w:val="0"/>
        <w:spacing w:after="180"/>
        <w:ind w:leftChars="0" w:left="1134" w:hanging="1134"/>
        <w:contextualSpacing/>
        <w:rPr>
          <w:rFonts w:ascii="Times New Roman" w:eastAsia="新細明體" w:hAnsi="Times New Roman" w:cs="Times New Roman"/>
          <w:b/>
          <w:bCs/>
          <w:sz w:val="20"/>
          <w:szCs w:val="20"/>
        </w:rPr>
      </w:pPr>
      <w:r>
        <w:rPr>
          <w:rFonts w:ascii="Times New Roman" w:eastAsia="新細明體" w:hAnsi="Times New Roman" w:cs="Times New Roman"/>
          <w:b/>
          <w:bCs/>
          <w:sz w:val="20"/>
          <w:szCs w:val="20"/>
        </w:rPr>
        <w:t xml:space="preserve">RAN2 to </w:t>
      </w:r>
      <w:r w:rsidR="009D643B">
        <w:rPr>
          <w:rFonts w:ascii="Times New Roman" w:eastAsia="新細明體" w:hAnsi="Times New Roman" w:cs="Times New Roman"/>
          <w:b/>
          <w:bCs/>
          <w:sz w:val="20"/>
          <w:szCs w:val="20"/>
        </w:rPr>
        <w:t>confirm with RAN3 whether any additional information or handling</w:t>
      </w:r>
      <w:r w:rsidR="00DE35FC">
        <w:rPr>
          <w:rFonts w:ascii="Times New Roman" w:eastAsia="新細明體" w:hAnsi="Times New Roman" w:cs="Times New Roman"/>
          <w:b/>
          <w:bCs/>
          <w:sz w:val="20"/>
          <w:szCs w:val="20"/>
        </w:rPr>
        <w:t xml:space="preserve"> from the UE side</w:t>
      </w:r>
      <w:r w:rsidR="009D643B">
        <w:rPr>
          <w:rFonts w:ascii="Times New Roman" w:eastAsia="新細明體" w:hAnsi="Times New Roman" w:cs="Times New Roman"/>
          <w:b/>
          <w:bCs/>
          <w:sz w:val="20"/>
          <w:szCs w:val="20"/>
        </w:rPr>
        <w:t xml:space="preserve"> is needed for concurrent MO- and MT-SDT scenarios</w:t>
      </w:r>
      <w:r>
        <w:rPr>
          <w:rFonts w:ascii="Times New Roman" w:eastAsia="新細明體" w:hAnsi="Times New Roman" w:cs="Times New Roman"/>
          <w:b/>
          <w:bCs/>
          <w:sz w:val="20"/>
          <w:szCs w:val="20"/>
        </w:rPr>
        <w:t>.</w:t>
      </w:r>
    </w:p>
    <w:p w14:paraId="2E02547D" w14:textId="56605FBC" w:rsidR="00E65E3B" w:rsidRDefault="00E65E3B" w:rsidP="003121EC">
      <w:pPr>
        <w:rPr>
          <w:rFonts w:ascii="Times New Roman" w:hAnsi="Times New Roman" w:cs="Times New Roman"/>
          <w:sz w:val="20"/>
          <w:szCs w:val="20"/>
          <w:lang w:val="en-GB"/>
        </w:rPr>
      </w:pPr>
    </w:p>
    <w:p w14:paraId="4A4588D6" w14:textId="63478D1E" w:rsidR="00DE35FC" w:rsidRPr="00DE35FC" w:rsidRDefault="00DE35FC" w:rsidP="00DE35FC">
      <w:pPr>
        <w:pStyle w:val="a3"/>
        <w:numPr>
          <w:ilvl w:val="1"/>
          <w:numId w:val="2"/>
        </w:numPr>
        <w:ind w:leftChars="0"/>
        <w:outlineLvl w:val="1"/>
        <w:rPr>
          <w:rFonts w:ascii="Arial" w:hAnsi="Arial" w:cs="Arial"/>
          <w:sz w:val="32"/>
          <w:szCs w:val="32"/>
        </w:rPr>
      </w:pPr>
      <w:r w:rsidRPr="00DE35FC">
        <w:rPr>
          <w:rFonts w:ascii="Arial" w:hAnsi="Arial" w:cs="Arial" w:hint="eastAsia"/>
          <w:sz w:val="32"/>
          <w:szCs w:val="32"/>
        </w:rPr>
        <w:t>T</w:t>
      </w:r>
      <w:r w:rsidRPr="00DE35FC">
        <w:rPr>
          <w:rFonts w:ascii="Arial" w:hAnsi="Arial" w:cs="Arial"/>
          <w:sz w:val="32"/>
          <w:szCs w:val="32"/>
        </w:rPr>
        <w:t>ermination</w:t>
      </w:r>
      <w:r>
        <w:rPr>
          <w:rFonts w:ascii="Arial" w:hAnsi="Arial" w:cs="Arial"/>
          <w:sz w:val="32"/>
          <w:szCs w:val="32"/>
        </w:rPr>
        <w:t xml:space="preserve"> (Procedure end)</w:t>
      </w:r>
    </w:p>
    <w:p w14:paraId="43AF68CB" w14:textId="2AB03BD6" w:rsidR="00DE35FC" w:rsidRDefault="0059147E" w:rsidP="003121EC">
      <w:pPr>
        <w:rPr>
          <w:rFonts w:ascii="Times New Roman" w:hAnsi="Times New Roman" w:cs="Times New Roman"/>
          <w:sz w:val="20"/>
          <w:szCs w:val="20"/>
          <w:lang w:val="en-GB"/>
        </w:rPr>
      </w:pPr>
      <w:r>
        <w:rPr>
          <w:rFonts w:ascii="Times New Roman" w:hAnsi="Times New Roman" w:cs="Times New Roman"/>
          <w:sz w:val="20"/>
          <w:szCs w:val="20"/>
          <w:lang w:val="en-GB"/>
        </w:rPr>
        <w:t>It is proposed to reuse most Rel-17 SDT procedure so the termination of Rel-18 MT-SDT procedure would be very similar with the legacy including following aspects:</w:t>
      </w:r>
    </w:p>
    <w:p w14:paraId="702F2457" w14:textId="3B8C8E1D" w:rsidR="0059147E" w:rsidRDefault="0059147E" w:rsidP="0059147E">
      <w:pPr>
        <w:pStyle w:val="a3"/>
        <w:numPr>
          <w:ilvl w:val="3"/>
          <w:numId w:val="7"/>
        </w:numPr>
        <w:ind w:leftChars="0" w:left="567" w:hanging="283"/>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ormal completion (including smooth transition to non-SDT procedure)</w:t>
      </w:r>
    </w:p>
    <w:p w14:paraId="45F437F7" w14:textId="2ED9B101" w:rsidR="0059147E" w:rsidRDefault="0059147E" w:rsidP="0059147E">
      <w:pPr>
        <w:pStyle w:val="a3"/>
        <w:numPr>
          <w:ilvl w:val="3"/>
          <w:numId w:val="7"/>
        </w:numPr>
        <w:ind w:leftChars="0" w:left="567" w:hanging="283"/>
        <w:rPr>
          <w:rFonts w:ascii="Times New Roman" w:hAnsi="Times New Roman" w:cs="Times New Roman"/>
          <w:sz w:val="20"/>
          <w:szCs w:val="20"/>
          <w:lang w:val="en-GB"/>
        </w:rPr>
      </w:pPr>
      <w:r>
        <w:rPr>
          <w:rFonts w:ascii="Times New Roman" w:hAnsi="Times New Roman" w:cs="Times New Roman"/>
          <w:sz w:val="20"/>
          <w:szCs w:val="20"/>
          <w:lang w:val="en-GB"/>
        </w:rPr>
        <w:t>RACH/CG resource / configurations release</w:t>
      </w:r>
    </w:p>
    <w:p w14:paraId="7996A4CA" w14:textId="542DE5A1" w:rsidR="0059147E" w:rsidRPr="0059147E" w:rsidRDefault="0059147E" w:rsidP="0059147E">
      <w:pPr>
        <w:pStyle w:val="a3"/>
        <w:numPr>
          <w:ilvl w:val="3"/>
          <w:numId w:val="7"/>
        </w:numPr>
        <w:ind w:leftChars="0" w:left="567" w:hanging="283"/>
        <w:rPr>
          <w:rFonts w:ascii="Times New Roman" w:hAnsi="Times New Roman" w:cs="Times New Roman"/>
          <w:sz w:val="20"/>
          <w:szCs w:val="20"/>
          <w:lang w:val="en-GB"/>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ailure handling</w:t>
      </w:r>
    </w:p>
    <w:p w14:paraId="017B7B68" w14:textId="77777777" w:rsidR="00DE35FC" w:rsidRPr="00DE35FC" w:rsidRDefault="00DE35FC" w:rsidP="003121EC">
      <w:pPr>
        <w:rPr>
          <w:rFonts w:ascii="Times New Roman" w:hAnsi="Times New Roman" w:cs="Times New Roman"/>
          <w:sz w:val="20"/>
          <w:szCs w:val="20"/>
          <w:lang w:val="en-GB"/>
        </w:rPr>
      </w:pPr>
    </w:p>
    <w:p w14:paraId="1DAAEDB6" w14:textId="4FF248DF" w:rsidR="00082635" w:rsidRPr="0064741D" w:rsidRDefault="0059147E" w:rsidP="00082635">
      <w:pPr>
        <w:pStyle w:val="a3"/>
        <w:widowControl/>
        <w:numPr>
          <w:ilvl w:val="0"/>
          <w:numId w:val="7"/>
        </w:numPr>
        <w:overflowPunct w:val="0"/>
        <w:autoSpaceDE w:val="0"/>
        <w:autoSpaceDN w:val="0"/>
        <w:adjustRightInd w:val="0"/>
        <w:spacing w:after="180"/>
        <w:ind w:leftChars="0" w:left="1134" w:hanging="1134"/>
        <w:contextualSpacing/>
        <w:rPr>
          <w:rFonts w:ascii="Times New Roman" w:eastAsia="新細明體" w:hAnsi="Times New Roman" w:cs="Times New Roman"/>
          <w:b/>
          <w:bCs/>
          <w:sz w:val="20"/>
          <w:szCs w:val="20"/>
        </w:rPr>
      </w:pPr>
      <w:r>
        <w:rPr>
          <w:rFonts w:ascii="Times New Roman" w:eastAsia="新細明體" w:hAnsi="Times New Roman" w:cs="Times New Roman"/>
          <w:b/>
          <w:bCs/>
          <w:sz w:val="20"/>
          <w:szCs w:val="20"/>
        </w:rPr>
        <w:t>Legacy SDT termination procedure can be reused for Rel-18 MT-SDT</w:t>
      </w:r>
      <w:r w:rsidR="00AF5EB8">
        <w:rPr>
          <w:rFonts w:ascii="Times New Roman" w:hAnsi="Times New Roman" w:cs="Times New Roman"/>
          <w:b/>
          <w:bCs/>
          <w:sz w:val="20"/>
          <w:szCs w:val="20"/>
        </w:rPr>
        <w:t>.</w:t>
      </w:r>
    </w:p>
    <w:p w14:paraId="22CBEAB2" w14:textId="77777777" w:rsidR="007D7E1C" w:rsidRPr="0027790E" w:rsidRDefault="007D7E1C" w:rsidP="003121EC">
      <w:pPr>
        <w:rPr>
          <w:rFonts w:ascii="Times New Roman" w:hAnsi="Times New Roman" w:cs="Times New Roman"/>
          <w:sz w:val="20"/>
          <w:szCs w:val="20"/>
        </w:rPr>
      </w:pPr>
    </w:p>
    <w:p w14:paraId="5210646A" w14:textId="505B5ECA" w:rsidR="003121EC" w:rsidRPr="003121EC" w:rsidRDefault="0027790E" w:rsidP="00555338">
      <w:pPr>
        <w:pStyle w:val="a3"/>
        <w:numPr>
          <w:ilvl w:val="0"/>
          <w:numId w:val="2"/>
        </w:numPr>
        <w:pBdr>
          <w:top w:val="single" w:sz="12" w:space="1" w:color="auto"/>
        </w:pBdr>
        <w:ind w:leftChars="0"/>
        <w:outlineLvl w:val="0"/>
        <w:rPr>
          <w:rFonts w:ascii="Arial" w:hAnsi="Arial" w:cs="Arial"/>
          <w:sz w:val="36"/>
          <w:szCs w:val="36"/>
        </w:rPr>
      </w:pPr>
      <w:r>
        <w:rPr>
          <w:rFonts w:ascii="Arial" w:hAnsi="Arial" w:cs="Arial"/>
          <w:sz w:val="36"/>
          <w:szCs w:val="36"/>
        </w:rPr>
        <w:t>Summary</w:t>
      </w:r>
    </w:p>
    <w:p w14:paraId="14236DF6" w14:textId="00FBE768" w:rsidR="003121EC" w:rsidRDefault="00246385" w:rsidP="003121EC">
      <w:pPr>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n previous sections we made the following observations</w:t>
      </w:r>
      <w:r w:rsidR="000D2DF6">
        <w:rPr>
          <w:rFonts w:ascii="Times New Roman" w:hAnsi="Times New Roman" w:cs="Times New Roman"/>
          <w:sz w:val="20"/>
          <w:szCs w:val="20"/>
        </w:rPr>
        <w:t xml:space="preserve"> and proposals</w:t>
      </w:r>
      <w:r>
        <w:rPr>
          <w:rFonts w:ascii="Times New Roman" w:hAnsi="Times New Roman" w:cs="Times New Roman"/>
          <w:sz w:val="20"/>
          <w:szCs w:val="20"/>
        </w:rPr>
        <w:t>:</w:t>
      </w:r>
    </w:p>
    <w:p w14:paraId="6EDF8BB1" w14:textId="27AE1870" w:rsidR="000D2DF6" w:rsidRPr="000D2DF6" w:rsidRDefault="0080060A" w:rsidP="000D2DF6">
      <w:pPr>
        <w:pStyle w:val="a3"/>
        <w:numPr>
          <w:ilvl w:val="0"/>
          <w:numId w:val="11"/>
        </w:numPr>
        <w:ind w:leftChars="0" w:left="1418" w:hanging="1418"/>
        <w:rPr>
          <w:rFonts w:ascii="Times New Roman" w:hAnsi="Times New Roman" w:cs="Times New Roman"/>
          <w:sz w:val="20"/>
          <w:szCs w:val="20"/>
        </w:rPr>
      </w:pPr>
      <w:r>
        <w:rPr>
          <w:rFonts w:ascii="Times New Roman" w:hAnsi="Times New Roman" w:cs="Times New Roman"/>
          <w:b/>
          <w:bCs/>
          <w:sz w:val="20"/>
          <w:szCs w:val="20"/>
        </w:rPr>
        <w:t>There is no overall procedure figure for CG-based SDT in TS 38.300</w:t>
      </w:r>
      <w:r w:rsidRPr="005B02FE">
        <w:rPr>
          <w:rFonts w:ascii="Times New Roman" w:hAnsi="Times New Roman" w:cs="Times New Roman"/>
          <w:b/>
          <w:bCs/>
          <w:sz w:val="20"/>
          <w:szCs w:val="20"/>
        </w:rPr>
        <w:t>.</w:t>
      </w:r>
    </w:p>
    <w:p w14:paraId="3A2D725E" w14:textId="01162DB3" w:rsidR="000D2DF6" w:rsidRPr="0080060A" w:rsidRDefault="0080060A" w:rsidP="00041400">
      <w:pPr>
        <w:pStyle w:val="a3"/>
        <w:widowControl/>
        <w:numPr>
          <w:ilvl w:val="0"/>
          <w:numId w:val="13"/>
        </w:numPr>
        <w:overflowPunct w:val="0"/>
        <w:autoSpaceDE w:val="0"/>
        <w:autoSpaceDN w:val="0"/>
        <w:adjustRightInd w:val="0"/>
        <w:spacing w:after="180"/>
        <w:ind w:leftChars="0" w:left="1134" w:hanging="1134"/>
        <w:contextualSpacing/>
        <w:rPr>
          <w:rFonts w:ascii="Times New Roman" w:hAnsi="Times New Roman" w:cs="Times New Roman"/>
          <w:b/>
          <w:bCs/>
          <w:sz w:val="20"/>
          <w:szCs w:val="20"/>
        </w:rPr>
      </w:pPr>
      <w:r>
        <w:rPr>
          <w:rFonts w:ascii="Times New Roman" w:eastAsia="新細明體" w:hAnsi="Times New Roman" w:cs="Times New Roman"/>
          <w:b/>
          <w:bCs/>
          <w:sz w:val="20"/>
          <w:szCs w:val="20"/>
        </w:rPr>
        <w:t>Take Figure 1 and 2 as the baseline for overall RA-/CG-based SDT procedure figure in the stage 2 specification.</w:t>
      </w:r>
    </w:p>
    <w:p w14:paraId="7AF44D65" w14:textId="70DFA38F" w:rsidR="00CE5B24" w:rsidRPr="0080060A" w:rsidRDefault="0080060A" w:rsidP="00E22B0C">
      <w:pPr>
        <w:pStyle w:val="a3"/>
        <w:widowControl/>
        <w:numPr>
          <w:ilvl w:val="0"/>
          <w:numId w:val="13"/>
        </w:numPr>
        <w:overflowPunct w:val="0"/>
        <w:autoSpaceDE w:val="0"/>
        <w:autoSpaceDN w:val="0"/>
        <w:adjustRightInd w:val="0"/>
        <w:spacing w:after="180"/>
        <w:ind w:leftChars="0" w:left="1134" w:hanging="1134"/>
        <w:contextualSpacing/>
        <w:rPr>
          <w:rFonts w:ascii="Times New Roman" w:hAnsi="Times New Roman" w:cs="Times New Roman"/>
          <w:b/>
          <w:bCs/>
          <w:sz w:val="20"/>
          <w:szCs w:val="20"/>
        </w:rPr>
      </w:pPr>
      <w:r>
        <w:rPr>
          <w:rFonts w:ascii="Times New Roman" w:eastAsia="新細明體" w:hAnsi="Times New Roman" w:cs="Times New Roman"/>
          <w:b/>
          <w:bCs/>
          <w:sz w:val="20"/>
          <w:szCs w:val="20"/>
        </w:rPr>
        <w:t xml:space="preserve">Rel-17 Layer 2 and CG-based configurations signaling in </w:t>
      </w:r>
      <w:r w:rsidRPr="008C358C">
        <w:rPr>
          <w:rFonts w:ascii="Times New Roman" w:eastAsia="新細明體" w:hAnsi="Times New Roman" w:cs="Times New Roman"/>
          <w:b/>
          <w:bCs/>
          <w:i/>
          <w:iCs/>
          <w:sz w:val="20"/>
          <w:szCs w:val="20"/>
        </w:rPr>
        <w:t>suspendConfig</w:t>
      </w:r>
      <w:r>
        <w:rPr>
          <w:rFonts w:ascii="Times New Roman" w:eastAsia="新細明體" w:hAnsi="Times New Roman" w:cs="Times New Roman"/>
          <w:b/>
          <w:bCs/>
          <w:sz w:val="20"/>
          <w:szCs w:val="20"/>
        </w:rPr>
        <w:t xml:space="preserve"> are reused for Rel-18 MT-SDT procedure.</w:t>
      </w:r>
    </w:p>
    <w:p w14:paraId="5AA74667" w14:textId="1A0C7A0F" w:rsidR="000D2DF6" w:rsidRDefault="0080060A" w:rsidP="000D2DF6">
      <w:pPr>
        <w:pStyle w:val="a3"/>
        <w:widowControl/>
        <w:numPr>
          <w:ilvl w:val="0"/>
          <w:numId w:val="13"/>
        </w:numPr>
        <w:overflowPunct w:val="0"/>
        <w:autoSpaceDE w:val="0"/>
        <w:autoSpaceDN w:val="0"/>
        <w:adjustRightInd w:val="0"/>
        <w:spacing w:after="180"/>
        <w:ind w:leftChars="0" w:left="1134" w:hanging="1134"/>
        <w:contextualSpacing/>
        <w:rPr>
          <w:rFonts w:ascii="Times New Roman" w:eastAsia="新細明體" w:hAnsi="Times New Roman" w:cs="Times New Roman"/>
          <w:b/>
          <w:bCs/>
          <w:sz w:val="20"/>
          <w:szCs w:val="20"/>
        </w:rPr>
      </w:pPr>
      <w:r>
        <w:rPr>
          <w:rFonts w:ascii="Times New Roman" w:eastAsia="新細明體" w:hAnsi="Times New Roman" w:cs="Times New Roman"/>
          <w:b/>
          <w:bCs/>
          <w:sz w:val="20"/>
          <w:szCs w:val="20"/>
        </w:rPr>
        <w:t xml:space="preserve">To add a new MT-SDT indication in </w:t>
      </w:r>
      <w:r>
        <w:rPr>
          <w:rFonts w:ascii="Times New Roman" w:eastAsia="新細明體" w:hAnsi="Times New Roman" w:cs="Times New Roman"/>
          <w:b/>
          <w:bCs/>
          <w:i/>
          <w:iCs/>
          <w:sz w:val="20"/>
          <w:szCs w:val="20"/>
        </w:rPr>
        <w:t>PAGING</w:t>
      </w:r>
      <w:r>
        <w:rPr>
          <w:rFonts w:ascii="Times New Roman" w:eastAsia="新細明體" w:hAnsi="Times New Roman" w:cs="Times New Roman"/>
          <w:b/>
          <w:bCs/>
          <w:sz w:val="20"/>
          <w:szCs w:val="20"/>
        </w:rPr>
        <w:t xml:space="preserve"> for triggering MT-SDT procedure.</w:t>
      </w:r>
    </w:p>
    <w:p w14:paraId="6BB3406D" w14:textId="496548FA" w:rsidR="0080060A" w:rsidRDefault="0080060A" w:rsidP="000D2DF6">
      <w:pPr>
        <w:pStyle w:val="a3"/>
        <w:widowControl/>
        <w:numPr>
          <w:ilvl w:val="0"/>
          <w:numId w:val="13"/>
        </w:numPr>
        <w:overflowPunct w:val="0"/>
        <w:autoSpaceDE w:val="0"/>
        <w:autoSpaceDN w:val="0"/>
        <w:adjustRightInd w:val="0"/>
        <w:spacing w:after="180"/>
        <w:ind w:leftChars="0" w:left="1134" w:hanging="1134"/>
        <w:contextualSpacing/>
        <w:rPr>
          <w:rFonts w:ascii="Times New Roman" w:eastAsia="新細明體" w:hAnsi="Times New Roman" w:cs="Times New Roman"/>
          <w:b/>
          <w:bCs/>
          <w:sz w:val="20"/>
          <w:szCs w:val="20"/>
        </w:rPr>
      </w:pPr>
      <w:r>
        <w:rPr>
          <w:rFonts w:ascii="Times New Roman" w:eastAsia="新細明體" w:hAnsi="Times New Roman" w:cs="Times New Roman"/>
          <w:b/>
          <w:bCs/>
          <w:sz w:val="20"/>
          <w:szCs w:val="20"/>
        </w:rPr>
        <w:t>For RA-based MT-SDT, SDT associated PRACH resource is used for one-shot or multi-shot scenarios and the how to avoid unused UL grant for Msg3 can be discussed in Stage-3 either by UE-based or network-based solution.</w:t>
      </w:r>
    </w:p>
    <w:p w14:paraId="4DAD822D" w14:textId="61EAA79B" w:rsidR="0080060A" w:rsidRDefault="0080060A" w:rsidP="000D2DF6">
      <w:pPr>
        <w:pStyle w:val="a3"/>
        <w:widowControl/>
        <w:numPr>
          <w:ilvl w:val="0"/>
          <w:numId w:val="13"/>
        </w:numPr>
        <w:overflowPunct w:val="0"/>
        <w:autoSpaceDE w:val="0"/>
        <w:autoSpaceDN w:val="0"/>
        <w:adjustRightInd w:val="0"/>
        <w:spacing w:after="180"/>
        <w:ind w:leftChars="0" w:left="1134" w:hanging="1134"/>
        <w:contextualSpacing/>
        <w:rPr>
          <w:rFonts w:ascii="Times New Roman" w:eastAsia="新細明體" w:hAnsi="Times New Roman" w:cs="Times New Roman"/>
          <w:b/>
          <w:bCs/>
          <w:sz w:val="20"/>
          <w:szCs w:val="20"/>
        </w:rPr>
      </w:pPr>
      <w:r>
        <w:rPr>
          <w:rFonts w:ascii="Times New Roman" w:eastAsia="新細明體" w:hAnsi="Times New Roman" w:cs="Times New Roman"/>
          <w:b/>
          <w:bCs/>
          <w:sz w:val="20"/>
          <w:szCs w:val="20"/>
        </w:rPr>
        <w:t>For CG-based MT-SDT, Rel-17 procedure can be reused.</w:t>
      </w:r>
    </w:p>
    <w:p w14:paraId="022CD674" w14:textId="005C66C5" w:rsidR="0080060A" w:rsidRDefault="0080060A" w:rsidP="000D2DF6">
      <w:pPr>
        <w:pStyle w:val="a3"/>
        <w:widowControl/>
        <w:numPr>
          <w:ilvl w:val="0"/>
          <w:numId w:val="13"/>
        </w:numPr>
        <w:overflowPunct w:val="0"/>
        <w:autoSpaceDE w:val="0"/>
        <w:autoSpaceDN w:val="0"/>
        <w:adjustRightInd w:val="0"/>
        <w:spacing w:after="180"/>
        <w:ind w:leftChars="0" w:left="1134" w:hanging="1134"/>
        <w:contextualSpacing/>
        <w:rPr>
          <w:rFonts w:ascii="Times New Roman" w:eastAsia="新細明體" w:hAnsi="Times New Roman" w:cs="Times New Roman"/>
          <w:b/>
          <w:bCs/>
          <w:sz w:val="20"/>
          <w:szCs w:val="20"/>
        </w:rPr>
      </w:pPr>
      <w:r>
        <w:rPr>
          <w:rFonts w:ascii="Times New Roman" w:eastAsia="新細明體" w:hAnsi="Times New Roman" w:cs="Times New Roman"/>
          <w:b/>
          <w:bCs/>
          <w:sz w:val="20"/>
          <w:szCs w:val="20"/>
        </w:rPr>
        <w:t>RAN2 to confirm with RAN3 whether any additional information or handling from the UE side is needed for concurrent MO- and MT-SDT scenarios.</w:t>
      </w:r>
    </w:p>
    <w:p w14:paraId="73DF3655" w14:textId="3DCC20A3" w:rsidR="0080060A" w:rsidRPr="0064741D" w:rsidRDefault="0080060A" w:rsidP="000D2DF6">
      <w:pPr>
        <w:pStyle w:val="a3"/>
        <w:widowControl/>
        <w:numPr>
          <w:ilvl w:val="0"/>
          <w:numId w:val="13"/>
        </w:numPr>
        <w:overflowPunct w:val="0"/>
        <w:autoSpaceDE w:val="0"/>
        <w:autoSpaceDN w:val="0"/>
        <w:adjustRightInd w:val="0"/>
        <w:spacing w:after="180"/>
        <w:ind w:leftChars="0" w:left="1134" w:hanging="1134"/>
        <w:contextualSpacing/>
        <w:rPr>
          <w:rFonts w:ascii="Times New Roman" w:eastAsia="新細明體" w:hAnsi="Times New Roman" w:cs="Times New Roman"/>
          <w:b/>
          <w:bCs/>
          <w:sz w:val="20"/>
          <w:szCs w:val="20"/>
        </w:rPr>
      </w:pPr>
      <w:r>
        <w:rPr>
          <w:rFonts w:ascii="Times New Roman" w:eastAsia="新細明體" w:hAnsi="Times New Roman" w:cs="Times New Roman"/>
          <w:b/>
          <w:bCs/>
          <w:sz w:val="20"/>
          <w:szCs w:val="20"/>
        </w:rPr>
        <w:t>Legacy SDT termination procedure can be reused for Rel-18 MT-SDT</w:t>
      </w:r>
      <w:r>
        <w:rPr>
          <w:rFonts w:ascii="Times New Roman" w:hAnsi="Times New Roman" w:cs="Times New Roman"/>
          <w:b/>
          <w:bCs/>
          <w:sz w:val="20"/>
          <w:szCs w:val="20"/>
        </w:rPr>
        <w:t>.</w:t>
      </w:r>
    </w:p>
    <w:p w14:paraId="3F5903B8" w14:textId="77777777" w:rsidR="007D7E1C" w:rsidRPr="0027790E" w:rsidRDefault="007D7E1C" w:rsidP="003121EC">
      <w:pPr>
        <w:rPr>
          <w:rFonts w:ascii="Times New Roman" w:hAnsi="Times New Roman" w:cs="Times New Roman"/>
          <w:sz w:val="20"/>
          <w:szCs w:val="20"/>
        </w:rPr>
      </w:pPr>
    </w:p>
    <w:p w14:paraId="1A9040D8" w14:textId="67E9C331" w:rsidR="003121EC" w:rsidRPr="003121EC" w:rsidRDefault="003121EC" w:rsidP="00555338">
      <w:pPr>
        <w:pStyle w:val="a3"/>
        <w:numPr>
          <w:ilvl w:val="0"/>
          <w:numId w:val="2"/>
        </w:numPr>
        <w:pBdr>
          <w:top w:val="single" w:sz="12" w:space="1" w:color="auto"/>
        </w:pBdr>
        <w:ind w:leftChars="0"/>
        <w:outlineLvl w:val="0"/>
        <w:rPr>
          <w:rFonts w:ascii="Arial" w:hAnsi="Arial" w:cs="Arial"/>
          <w:sz w:val="36"/>
          <w:szCs w:val="36"/>
        </w:rPr>
      </w:pPr>
      <w:r w:rsidRPr="003121EC">
        <w:rPr>
          <w:rFonts w:ascii="Arial" w:hAnsi="Arial" w:cs="Arial" w:hint="eastAsia"/>
          <w:sz w:val="36"/>
          <w:szCs w:val="36"/>
        </w:rPr>
        <w:t>R</w:t>
      </w:r>
      <w:r w:rsidRPr="003121EC">
        <w:rPr>
          <w:rFonts w:ascii="Arial" w:hAnsi="Arial" w:cs="Arial"/>
          <w:sz w:val="36"/>
          <w:szCs w:val="36"/>
        </w:rPr>
        <w:t>eferences</w:t>
      </w:r>
    </w:p>
    <w:p w14:paraId="377A4BB9" w14:textId="2C4D8988" w:rsidR="007D7E1C" w:rsidRPr="001571FE" w:rsidRDefault="002B6E1F" w:rsidP="00914008">
      <w:pPr>
        <w:pStyle w:val="a3"/>
        <w:numPr>
          <w:ilvl w:val="0"/>
          <w:numId w:val="4"/>
        </w:numPr>
        <w:ind w:leftChars="0"/>
        <w:rPr>
          <w:rFonts w:ascii="Times New Roman" w:hAnsi="Times New Roman" w:cs="Times New Roman"/>
          <w:sz w:val="20"/>
          <w:szCs w:val="20"/>
        </w:rPr>
      </w:pPr>
      <w:r w:rsidRPr="001571FE">
        <w:rPr>
          <w:rFonts w:ascii="Times New Roman" w:hAnsi="Times New Roman" w:cs="Times New Roman"/>
          <w:sz w:val="20"/>
          <w:szCs w:val="20"/>
        </w:rPr>
        <w:t>R</w:t>
      </w:r>
      <w:r w:rsidR="00F73D0E" w:rsidRPr="001571FE">
        <w:rPr>
          <w:rFonts w:ascii="Times New Roman" w:hAnsi="Times New Roman" w:cs="Times New Roman"/>
          <w:sz w:val="20"/>
          <w:szCs w:val="20"/>
        </w:rPr>
        <w:t>P</w:t>
      </w:r>
      <w:r w:rsidRPr="001571FE">
        <w:rPr>
          <w:rFonts w:ascii="Times New Roman" w:hAnsi="Times New Roman" w:cs="Times New Roman"/>
          <w:sz w:val="20"/>
          <w:szCs w:val="20"/>
        </w:rPr>
        <w:t>-</w:t>
      </w:r>
      <w:r w:rsidR="00F73D0E" w:rsidRPr="001571FE">
        <w:rPr>
          <w:rFonts w:ascii="Times New Roman" w:hAnsi="Times New Roman" w:cs="Times New Roman"/>
          <w:sz w:val="20"/>
          <w:szCs w:val="20"/>
        </w:rPr>
        <w:t>213583</w:t>
      </w:r>
      <w:r w:rsidR="00F73D0E" w:rsidRPr="001571FE">
        <w:rPr>
          <w:rFonts w:ascii="Times New Roman" w:hAnsi="Times New Roman" w:cs="Times New Roman"/>
          <w:sz w:val="20"/>
          <w:szCs w:val="20"/>
        </w:rPr>
        <w:tab/>
      </w:r>
      <w:r w:rsidR="00F73D0E" w:rsidRPr="001571FE">
        <w:rPr>
          <w:rFonts w:ascii="Times New Roman" w:hAnsi="Times New Roman" w:cs="Times New Roman"/>
          <w:sz w:val="20"/>
          <w:szCs w:val="20"/>
        </w:rPr>
        <w:tab/>
        <w:t>New WI: Mobile Terminated-Small Data Transmission (MT-SDT) for NR</w:t>
      </w:r>
    </w:p>
    <w:p w14:paraId="0DF21DC6" w14:textId="201E4453" w:rsidR="003121EC" w:rsidRPr="001C5902" w:rsidRDefault="003121EC" w:rsidP="003121EC">
      <w:pPr>
        <w:rPr>
          <w:rFonts w:ascii="Times New Roman" w:hAnsi="Times New Roman" w:cs="Times New Roman"/>
          <w:sz w:val="20"/>
          <w:szCs w:val="20"/>
        </w:rPr>
      </w:pPr>
    </w:p>
    <w:sectPr w:rsidR="003121EC" w:rsidRPr="001C5902">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24254B" w14:textId="77777777" w:rsidR="00A277D9" w:rsidRDefault="00A277D9" w:rsidP="003121EC">
      <w:r>
        <w:separator/>
      </w:r>
    </w:p>
  </w:endnote>
  <w:endnote w:type="continuationSeparator" w:id="0">
    <w:p w14:paraId="1A13656E" w14:textId="77777777" w:rsidR="00A277D9" w:rsidRDefault="00A277D9" w:rsidP="00312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FB0143" w14:textId="77777777" w:rsidR="00A277D9" w:rsidRDefault="00A277D9" w:rsidP="003121EC">
      <w:r>
        <w:separator/>
      </w:r>
    </w:p>
  </w:footnote>
  <w:footnote w:type="continuationSeparator" w:id="0">
    <w:p w14:paraId="029AAF94" w14:textId="77777777" w:rsidR="00A277D9" w:rsidRDefault="00A277D9" w:rsidP="003121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BA31CF"/>
    <w:multiLevelType w:val="hybridMultilevel"/>
    <w:tmpl w:val="FE4C673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0FE2140"/>
    <w:multiLevelType w:val="hybridMultilevel"/>
    <w:tmpl w:val="31EA3372"/>
    <w:lvl w:ilvl="0" w:tplc="16D2BE58">
      <w:start w:val="1"/>
      <w:numFmt w:val="decimal"/>
      <w:lvlText w:val="Observation %1"/>
      <w:lvlJc w:val="left"/>
      <w:pPr>
        <w:ind w:left="480" w:hanging="480"/>
      </w:pPr>
      <w:rPr>
        <w:rFonts w:hint="default"/>
        <w:b/>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4E97018"/>
    <w:multiLevelType w:val="multilevel"/>
    <w:tmpl w:val="D2D4A50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A5F5E1A"/>
    <w:multiLevelType w:val="hybridMultilevel"/>
    <w:tmpl w:val="51DCCC4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1BE43B0D"/>
    <w:multiLevelType w:val="hybridMultilevel"/>
    <w:tmpl w:val="D4A2CC26"/>
    <w:lvl w:ilvl="0" w:tplc="CE0E67E4">
      <w:start w:val="1"/>
      <w:numFmt w:val="decimal"/>
      <w:lvlText w:val="Proposal %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 w15:restartNumberingAfterBreak="0">
    <w:nsid w:val="23B054BF"/>
    <w:multiLevelType w:val="hybridMultilevel"/>
    <w:tmpl w:val="D870EB8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D641C51"/>
    <w:multiLevelType w:val="hybridMultilevel"/>
    <w:tmpl w:val="304E6E68"/>
    <w:lvl w:ilvl="0" w:tplc="9F46E33A">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3B73779"/>
    <w:multiLevelType w:val="hybridMultilevel"/>
    <w:tmpl w:val="9CB44AC6"/>
    <w:lvl w:ilvl="0" w:tplc="2B0CDD0A">
      <w:start w:val="1"/>
      <w:numFmt w:val="decimal"/>
      <w:lvlText w:val="%1."/>
      <w:lvlJc w:val="left"/>
      <w:pPr>
        <w:ind w:left="8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51404109"/>
    <w:multiLevelType w:val="hybridMultilevel"/>
    <w:tmpl w:val="31EA3372"/>
    <w:lvl w:ilvl="0" w:tplc="16D2BE58">
      <w:start w:val="1"/>
      <w:numFmt w:val="decimal"/>
      <w:lvlText w:val="Observation %1"/>
      <w:lvlJc w:val="left"/>
      <w:pPr>
        <w:ind w:left="480" w:hanging="480"/>
      </w:pPr>
      <w:rPr>
        <w:rFonts w:hint="default"/>
        <w:b/>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687A54C2"/>
    <w:multiLevelType w:val="hybridMultilevel"/>
    <w:tmpl w:val="68D08EB0"/>
    <w:lvl w:ilvl="0" w:tplc="05A87D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B814F0"/>
    <w:multiLevelType w:val="hybridMultilevel"/>
    <w:tmpl w:val="D4A2CC26"/>
    <w:lvl w:ilvl="0" w:tplc="CE0E67E4">
      <w:start w:val="1"/>
      <w:numFmt w:val="decimal"/>
      <w:lvlText w:val="Proposal %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9"/>
  </w:num>
  <w:num w:numId="2">
    <w:abstractNumId w:val="2"/>
  </w:num>
  <w:num w:numId="3">
    <w:abstractNumId w:val="10"/>
  </w:num>
  <w:num w:numId="4">
    <w:abstractNumId w:val="6"/>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0"/>
  </w:num>
  <w:num w:numId="11">
    <w:abstractNumId w:val="1"/>
  </w:num>
  <w:num w:numId="12">
    <w:abstractNumId w:val="11"/>
  </w:num>
  <w:num w:numId="13">
    <w:abstractNumId w:val="4"/>
  </w:num>
  <w:num w:numId="14">
    <w:abstractNumId w:val="10"/>
  </w:num>
  <w:num w:numId="15">
    <w:abstractNumId w:val="10"/>
  </w:num>
  <w:num w:numId="16">
    <w:abstractNumId w:val="10"/>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1EC"/>
    <w:rsid w:val="000005FC"/>
    <w:rsid w:val="000018BF"/>
    <w:rsid w:val="000030D5"/>
    <w:rsid w:val="00010DB2"/>
    <w:rsid w:val="00023ACE"/>
    <w:rsid w:val="0003216C"/>
    <w:rsid w:val="00034EDA"/>
    <w:rsid w:val="00041C5B"/>
    <w:rsid w:val="00046A53"/>
    <w:rsid w:val="000478F1"/>
    <w:rsid w:val="00055209"/>
    <w:rsid w:val="00062F09"/>
    <w:rsid w:val="00064EE5"/>
    <w:rsid w:val="0006539A"/>
    <w:rsid w:val="0007186F"/>
    <w:rsid w:val="00076D67"/>
    <w:rsid w:val="00082635"/>
    <w:rsid w:val="00086351"/>
    <w:rsid w:val="0008784D"/>
    <w:rsid w:val="000915C8"/>
    <w:rsid w:val="00096A0C"/>
    <w:rsid w:val="000A15FA"/>
    <w:rsid w:val="000C346F"/>
    <w:rsid w:val="000D2DF6"/>
    <w:rsid w:val="000D600A"/>
    <w:rsid w:val="000E006B"/>
    <w:rsid w:val="000E70C6"/>
    <w:rsid w:val="000F2EFA"/>
    <w:rsid w:val="00102405"/>
    <w:rsid w:val="00103E86"/>
    <w:rsid w:val="00105916"/>
    <w:rsid w:val="0011175C"/>
    <w:rsid w:val="00111A38"/>
    <w:rsid w:val="0012552A"/>
    <w:rsid w:val="001264BE"/>
    <w:rsid w:val="00140AD5"/>
    <w:rsid w:val="00146C3C"/>
    <w:rsid w:val="001571FE"/>
    <w:rsid w:val="0016108F"/>
    <w:rsid w:val="001829F9"/>
    <w:rsid w:val="0019094C"/>
    <w:rsid w:val="00190DA0"/>
    <w:rsid w:val="001911A4"/>
    <w:rsid w:val="0019399E"/>
    <w:rsid w:val="00194D92"/>
    <w:rsid w:val="001B4CEC"/>
    <w:rsid w:val="001C16A4"/>
    <w:rsid w:val="001C4C69"/>
    <w:rsid w:val="001C5902"/>
    <w:rsid w:val="001C6B3D"/>
    <w:rsid w:val="001C70B7"/>
    <w:rsid w:val="001D4AA8"/>
    <w:rsid w:val="001D520B"/>
    <w:rsid w:val="001E3330"/>
    <w:rsid w:val="001E7DAA"/>
    <w:rsid w:val="001F02B9"/>
    <w:rsid w:val="00202B60"/>
    <w:rsid w:val="00205A83"/>
    <w:rsid w:val="00210CF4"/>
    <w:rsid w:val="00211404"/>
    <w:rsid w:val="00211AB3"/>
    <w:rsid w:val="0021450E"/>
    <w:rsid w:val="00221B21"/>
    <w:rsid w:val="00225662"/>
    <w:rsid w:val="00233A77"/>
    <w:rsid w:val="00246385"/>
    <w:rsid w:val="002477CF"/>
    <w:rsid w:val="002632E9"/>
    <w:rsid w:val="00270A42"/>
    <w:rsid w:val="00274FCF"/>
    <w:rsid w:val="00276D5B"/>
    <w:rsid w:val="002771D1"/>
    <w:rsid w:val="0027790E"/>
    <w:rsid w:val="00282D5C"/>
    <w:rsid w:val="0029184C"/>
    <w:rsid w:val="00292F6C"/>
    <w:rsid w:val="0029329A"/>
    <w:rsid w:val="00295A30"/>
    <w:rsid w:val="002A4F02"/>
    <w:rsid w:val="002A6EBA"/>
    <w:rsid w:val="002B2586"/>
    <w:rsid w:val="002B4A1A"/>
    <w:rsid w:val="002B6E1F"/>
    <w:rsid w:val="002C32D1"/>
    <w:rsid w:val="002C703E"/>
    <w:rsid w:val="002D1986"/>
    <w:rsid w:val="002D6824"/>
    <w:rsid w:val="002D7BEA"/>
    <w:rsid w:val="002E223D"/>
    <w:rsid w:val="002F464D"/>
    <w:rsid w:val="002F76A5"/>
    <w:rsid w:val="0031078D"/>
    <w:rsid w:val="003121EC"/>
    <w:rsid w:val="003201F3"/>
    <w:rsid w:val="0032137D"/>
    <w:rsid w:val="003219A2"/>
    <w:rsid w:val="00325219"/>
    <w:rsid w:val="0032591A"/>
    <w:rsid w:val="00330900"/>
    <w:rsid w:val="0033245D"/>
    <w:rsid w:val="003324F0"/>
    <w:rsid w:val="00335D1E"/>
    <w:rsid w:val="00346415"/>
    <w:rsid w:val="00347862"/>
    <w:rsid w:val="00361D83"/>
    <w:rsid w:val="0037175D"/>
    <w:rsid w:val="00372905"/>
    <w:rsid w:val="00381A27"/>
    <w:rsid w:val="003840E7"/>
    <w:rsid w:val="0039296D"/>
    <w:rsid w:val="00397C27"/>
    <w:rsid w:val="003A02D4"/>
    <w:rsid w:val="003A0D6E"/>
    <w:rsid w:val="003B5B7C"/>
    <w:rsid w:val="003C006B"/>
    <w:rsid w:val="003C7760"/>
    <w:rsid w:val="003D0BD5"/>
    <w:rsid w:val="003D5A24"/>
    <w:rsid w:val="003D6E4A"/>
    <w:rsid w:val="003F02E3"/>
    <w:rsid w:val="003F0759"/>
    <w:rsid w:val="003F2416"/>
    <w:rsid w:val="003F70FF"/>
    <w:rsid w:val="004105D7"/>
    <w:rsid w:val="00412AFA"/>
    <w:rsid w:val="004252F7"/>
    <w:rsid w:val="00426189"/>
    <w:rsid w:val="00426FC3"/>
    <w:rsid w:val="00433805"/>
    <w:rsid w:val="004706E7"/>
    <w:rsid w:val="004719A7"/>
    <w:rsid w:val="00475C9F"/>
    <w:rsid w:val="0047610C"/>
    <w:rsid w:val="004770B8"/>
    <w:rsid w:val="00477F7D"/>
    <w:rsid w:val="00487750"/>
    <w:rsid w:val="004968D0"/>
    <w:rsid w:val="00496C1D"/>
    <w:rsid w:val="004A37D4"/>
    <w:rsid w:val="004B1930"/>
    <w:rsid w:val="004B4870"/>
    <w:rsid w:val="004B563C"/>
    <w:rsid w:val="004B5AC7"/>
    <w:rsid w:val="004C0E9E"/>
    <w:rsid w:val="004C5E9D"/>
    <w:rsid w:val="004C61B7"/>
    <w:rsid w:val="004C75D8"/>
    <w:rsid w:val="004E133F"/>
    <w:rsid w:val="004E505E"/>
    <w:rsid w:val="004E7692"/>
    <w:rsid w:val="00513281"/>
    <w:rsid w:val="005147D5"/>
    <w:rsid w:val="005158C0"/>
    <w:rsid w:val="005374DB"/>
    <w:rsid w:val="005470F3"/>
    <w:rsid w:val="00555338"/>
    <w:rsid w:val="00555733"/>
    <w:rsid w:val="00565012"/>
    <w:rsid w:val="00565D6C"/>
    <w:rsid w:val="00574E3B"/>
    <w:rsid w:val="00590746"/>
    <w:rsid w:val="0059147E"/>
    <w:rsid w:val="00592165"/>
    <w:rsid w:val="005A4D62"/>
    <w:rsid w:val="005A5065"/>
    <w:rsid w:val="005B02FE"/>
    <w:rsid w:val="005C4094"/>
    <w:rsid w:val="005C496E"/>
    <w:rsid w:val="005D2878"/>
    <w:rsid w:val="005D4340"/>
    <w:rsid w:val="005D6995"/>
    <w:rsid w:val="005D7800"/>
    <w:rsid w:val="005E1067"/>
    <w:rsid w:val="005E6D36"/>
    <w:rsid w:val="005E739E"/>
    <w:rsid w:val="005F2288"/>
    <w:rsid w:val="0060369A"/>
    <w:rsid w:val="006043E1"/>
    <w:rsid w:val="006051FE"/>
    <w:rsid w:val="00605339"/>
    <w:rsid w:val="006076B4"/>
    <w:rsid w:val="00613A72"/>
    <w:rsid w:val="00621646"/>
    <w:rsid w:val="006335B3"/>
    <w:rsid w:val="00633CEE"/>
    <w:rsid w:val="0063443C"/>
    <w:rsid w:val="0064158C"/>
    <w:rsid w:val="006439DB"/>
    <w:rsid w:val="0064741D"/>
    <w:rsid w:val="00650A9E"/>
    <w:rsid w:val="006520F0"/>
    <w:rsid w:val="00654A66"/>
    <w:rsid w:val="0065524B"/>
    <w:rsid w:val="00657639"/>
    <w:rsid w:val="00670AD5"/>
    <w:rsid w:val="0067241B"/>
    <w:rsid w:val="0067594E"/>
    <w:rsid w:val="006810B1"/>
    <w:rsid w:val="00683ACD"/>
    <w:rsid w:val="006904E1"/>
    <w:rsid w:val="0069277F"/>
    <w:rsid w:val="00693F54"/>
    <w:rsid w:val="00695841"/>
    <w:rsid w:val="006A33A5"/>
    <w:rsid w:val="006B2A5D"/>
    <w:rsid w:val="006B41D7"/>
    <w:rsid w:val="006B531D"/>
    <w:rsid w:val="006D041D"/>
    <w:rsid w:val="006D0557"/>
    <w:rsid w:val="006D137F"/>
    <w:rsid w:val="006D3EA2"/>
    <w:rsid w:val="006D413E"/>
    <w:rsid w:val="006D59EA"/>
    <w:rsid w:val="006D6492"/>
    <w:rsid w:val="006E05AE"/>
    <w:rsid w:val="006E76BF"/>
    <w:rsid w:val="006E7D79"/>
    <w:rsid w:val="006F4E0A"/>
    <w:rsid w:val="00701B72"/>
    <w:rsid w:val="0070342C"/>
    <w:rsid w:val="007068D6"/>
    <w:rsid w:val="00706AE0"/>
    <w:rsid w:val="007107EF"/>
    <w:rsid w:val="00720458"/>
    <w:rsid w:val="007217C9"/>
    <w:rsid w:val="00733B8E"/>
    <w:rsid w:val="007455AD"/>
    <w:rsid w:val="00747D16"/>
    <w:rsid w:val="0075122F"/>
    <w:rsid w:val="00766DC2"/>
    <w:rsid w:val="0077005B"/>
    <w:rsid w:val="00772292"/>
    <w:rsid w:val="00772C9B"/>
    <w:rsid w:val="007830C5"/>
    <w:rsid w:val="00787D31"/>
    <w:rsid w:val="0079065C"/>
    <w:rsid w:val="00794F05"/>
    <w:rsid w:val="0079587E"/>
    <w:rsid w:val="007A1B48"/>
    <w:rsid w:val="007A2BB8"/>
    <w:rsid w:val="007A4308"/>
    <w:rsid w:val="007A450C"/>
    <w:rsid w:val="007A56B5"/>
    <w:rsid w:val="007C1151"/>
    <w:rsid w:val="007C2674"/>
    <w:rsid w:val="007C2E06"/>
    <w:rsid w:val="007C63A2"/>
    <w:rsid w:val="007D5092"/>
    <w:rsid w:val="007D7C6F"/>
    <w:rsid w:val="007D7E1C"/>
    <w:rsid w:val="007E39A1"/>
    <w:rsid w:val="007F275C"/>
    <w:rsid w:val="007F4526"/>
    <w:rsid w:val="0080060A"/>
    <w:rsid w:val="00803868"/>
    <w:rsid w:val="00803CAD"/>
    <w:rsid w:val="008060ED"/>
    <w:rsid w:val="00813AAC"/>
    <w:rsid w:val="008234AD"/>
    <w:rsid w:val="00825374"/>
    <w:rsid w:val="0082773A"/>
    <w:rsid w:val="0083190E"/>
    <w:rsid w:val="00831A72"/>
    <w:rsid w:val="00833A32"/>
    <w:rsid w:val="00840126"/>
    <w:rsid w:val="0084164D"/>
    <w:rsid w:val="008424D7"/>
    <w:rsid w:val="00843BD5"/>
    <w:rsid w:val="00855084"/>
    <w:rsid w:val="00866CD9"/>
    <w:rsid w:val="0087761C"/>
    <w:rsid w:val="00882AA6"/>
    <w:rsid w:val="00882C4C"/>
    <w:rsid w:val="00882DF7"/>
    <w:rsid w:val="008A6D12"/>
    <w:rsid w:val="008B21C1"/>
    <w:rsid w:val="008B3493"/>
    <w:rsid w:val="008B4C84"/>
    <w:rsid w:val="008B74DC"/>
    <w:rsid w:val="008C358C"/>
    <w:rsid w:val="008C530A"/>
    <w:rsid w:val="008C760C"/>
    <w:rsid w:val="008C7A8D"/>
    <w:rsid w:val="008D032B"/>
    <w:rsid w:val="008D295E"/>
    <w:rsid w:val="008E0FCF"/>
    <w:rsid w:val="008E58F4"/>
    <w:rsid w:val="008E6D01"/>
    <w:rsid w:val="008F18D8"/>
    <w:rsid w:val="008F4748"/>
    <w:rsid w:val="008F4E78"/>
    <w:rsid w:val="008F6ED1"/>
    <w:rsid w:val="008F776C"/>
    <w:rsid w:val="00900C86"/>
    <w:rsid w:val="009033CD"/>
    <w:rsid w:val="0092308A"/>
    <w:rsid w:val="00926767"/>
    <w:rsid w:val="0092699A"/>
    <w:rsid w:val="00945000"/>
    <w:rsid w:val="00945198"/>
    <w:rsid w:val="0095514F"/>
    <w:rsid w:val="009559D6"/>
    <w:rsid w:val="00956E8D"/>
    <w:rsid w:val="00963B23"/>
    <w:rsid w:val="00967FB4"/>
    <w:rsid w:val="009712BD"/>
    <w:rsid w:val="00971D53"/>
    <w:rsid w:val="00974642"/>
    <w:rsid w:val="0097674E"/>
    <w:rsid w:val="00980A0E"/>
    <w:rsid w:val="0098569A"/>
    <w:rsid w:val="00987BF4"/>
    <w:rsid w:val="00991976"/>
    <w:rsid w:val="0099482E"/>
    <w:rsid w:val="00995A04"/>
    <w:rsid w:val="00995FDB"/>
    <w:rsid w:val="009A02B6"/>
    <w:rsid w:val="009A4A02"/>
    <w:rsid w:val="009A72FB"/>
    <w:rsid w:val="009B6227"/>
    <w:rsid w:val="009C2D44"/>
    <w:rsid w:val="009C6A33"/>
    <w:rsid w:val="009D3C65"/>
    <w:rsid w:val="009D4073"/>
    <w:rsid w:val="009D643B"/>
    <w:rsid w:val="009E457A"/>
    <w:rsid w:val="009F5C5C"/>
    <w:rsid w:val="009F7ECA"/>
    <w:rsid w:val="00A1580C"/>
    <w:rsid w:val="00A277D9"/>
    <w:rsid w:val="00A32429"/>
    <w:rsid w:val="00A360B5"/>
    <w:rsid w:val="00A41E35"/>
    <w:rsid w:val="00A44986"/>
    <w:rsid w:val="00A5194B"/>
    <w:rsid w:val="00A60C6E"/>
    <w:rsid w:val="00A64E7D"/>
    <w:rsid w:val="00A65FE1"/>
    <w:rsid w:val="00A70B55"/>
    <w:rsid w:val="00A85997"/>
    <w:rsid w:val="00AA2A24"/>
    <w:rsid w:val="00AA46BD"/>
    <w:rsid w:val="00AA764F"/>
    <w:rsid w:val="00AC1154"/>
    <w:rsid w:val="00AC70A7"/>
    <w:rsid w:val="00AD1724"/>
    <w:rsid w:val="00AE0E93"/>
    <w:rsid w:val="00AE2053"/>
    <w:rsid w:val="00AF22E0"/>
    <w:rsid w:val="00AF5EB8"/>
    <w:rsid w:val="00AF6234"/>
    <w:rsid w:val="00B0369A"/>
    <w:rsid w:val="00B11C17"/>
    <w:rsid w:val="00B143D3"/>
    <w:rsid w:val="00B17CBD"/>
    <w:rsid w:val="00B20901"/>
    <w:rsid w:val="00B3550B"/>
    <w:rsid w:val="00B3725C"/>
    <w:rsid w:val="00B43C6F"/>
    <w:rsid w:val="00B46596"/>
    <w:rsid w:val="00B46DAD"/>
    <w:rsid w:val="00B47EA8"/>
    <w:rsid w:val="00B51D33"/>
    <w:rsid w:val="00B51EB4"/>
    <w:rsid w:val="00B525B2"/>
    <w:rsid w:val="00B5281B"/>
    <w:rsid w:val="00B54771"/>
    <w:rsid w:val="00B62DAF"/>
    <w:rsid w:val="00B63ECD"/>
    <w:rsid w:val="00B640FC"/>
    <w:rsid w:val="00B64802"/>
    <w:rsid w:val="00B77412"/>
    <w:rsid w:val="00B875FE"/>
    <w:rsid w:val="00B9363E"/>
    <w:rsid w:val="00B9545D"/>
    <w:rsid w:val="00B96895"/>
    <w:rsid w:val="00BA05FF"/>
    <w:rsid w:val="00BB13D7"/>
    <w:rsid w:val="00BC01EE"/>
    <w:rsid w:val="00BC3119"/>
    <w:rsid w:val="00BC650E"/>
    <w:rsid w:val="00BD0A8D"/>
    <w:rsid w:val="00BD16DB"/>
    <w:rsid w:val="00BD1851"/>
    <w:rsid w:val="00BD6DBB"/>
    <w:rsid w:val="00BE34D2"/>
    <w:rsid w:val="00BF0C19"/>
    <w:rsid w:val="00C1148B"/>
    <w:rsid w:val="00C13EC4"/>
    <w:rsid w:val="00C24D46"/>
    <w:rsid w:val="00C261FD"/>
    <w:rsid w:val="00C47FFE"/>
    <w:rsid w:val="00C51008"/>
    <w:rsid w:val="00C56220"/>
    <w:rsid w:val="00C57761"/>
    <w:rsid w:val="00C6209B"/>
    <w:rsid w:val="00C63189"/>
    <w:rsid w:val="00C6348E"/>
    <w:rsid w:val="00C76357"/>
    <w:rsid w:val="00C80B6D"/>
    <w:rsid w:val="00C86622"/>
    <w:rsid w:val="00CA664B"/>
    <w:rsid w:val="00CB185A"/>
    <w:rsid w:val="00CB294A"/>
    <w:rsid w:val="00CB4E2F"/>
    <w:rsid w:val="00CC0108"/>
    <w:rsid w:val="00CD08C3"/>
    <w:rsid w:val="00CD1E2B"/>
    <w:rsid w:val="00CD6863"/>
    <w:rsid w:val="00CE16DF"/>
    <w:rsid w:val="00CE30EA"/>
    <w:rsid w:val="00CE5B24"/>
    <w:rsid w:val="00CE6113"/>
    <w:rsid w:val="00CF3760"/>
    <w:rsid w:val="00CF6691"/>
    <w:rsid w:val="00CF742E"/>
    <w:rsid w:val="00D05960"/>
    <w:rsid w:val="00D060DF"/>
    <w:rsid w:val="00D26179"/>
    <w:rsid w:val="00D26BB5"/>
    <w:rsid w:val="00D41639"/>
    <w:rsid w:val="00D45029"/>
    <w:rsid w:val="00D479C5"/>
    <w:rsid w:val="00D5532D"/>
    <w:rsid w:val="00D613F2"/>
    <w:rsid w:val="00D713F4"/>
    <w:rsid w:val="00D727F2"/>
    <w:rsid w:val="00D867BF"/>
    <w:rsid w:val="00D940AC"/>
    <w:rsid w:val="00DA1356"/>
    <w:rsid w:val="00DA3D6B"/>
    <w:rsid w:val="00DB13F4"/>
    <w:rsid w:val="00DB4076"/>
    <w:rsid w:val="00DB5C39"/>
    <w:rsid w:val="00DC362F"/>
    <w:rsid w:val="00DC4C44"/>
    <w:rsid w:val="00DC74FE"/>
    <w:rsid w:val="00DD36C7"/>
    <w:rsid w:val="00DD6034"/>
    <w:rsid w:val="00DE1952"/>
    <w:rsid w:val="00DE2627"/>
    <w:rsid w:val="00DE35FC"/>
    <w:rsid w:val="00DE369E"/>
    <w:rsid w:val="00E06374"/>
    <w:rsid w:val="00E2710D"/>
    <w:rsid w:val="00E33195"/>
    <w:rsid w:val="00E35D47"/>
    <w:rsid w:val="00E4348B"/>
    <w:rsid w:val="00E53FC3"/>
    <w:rsid w:val="00E60634"/>
    <w:rsid w:val="00E65E3B"/>
    <w:rsid w:val="00E7381C"/>
    <w:rsid w:val="00E7466C"/>
    <w:rsid w:val="00E801BF"/>
    <w:rsid w:val="00E87DCF"/>
    <w:rsid w:val="00E92F2D"/>
    <w:rsid w:val="00E9664D"/>
    <w:rsid w:val="00EA081F"/>
    <w:rsid w:val="00EA1EDF"/>
    <w:rsid w:val="00EA4CA6"/>
    <w:rsid w:val="00EB0790"/>
    <w:rsid w:val="00EB196D"/>
    <w:rsid w:val="00EB4161"/>
    <w:rsid w:val="00EB47A4"/>
    <w:rsid w:val="00EB61E9"/>
    <w:rsid w:val="00EB711D"/>
    <w:rsid w:val="00EC229D"/>
    <w:rsid w:val="00EC23C9"/>
    <w:rsid w:val="00EC3774"/>
    <w:rsid w:val="00EC475C"/>
    <w:rsid w:val="00EC4FBA"/>
    <w:rsid w:val="00ED18B6"/>
    <w:rsid w:val="00ED78CB"/>
    <w:rsid w:val="00EE3507"/>
    <w:rsid w:val="00EF1812"/>
    <w:rsid w:val="00F01439"/>
    <w:rsid w:val="00F027E0"/>
    <w:rsid w:val="00F03323"/>
    <w:rsid w:val="00F033D3"/>
    <w:rsid w:val="00F07C96"/>
    <w:rsid w:val="00F15673"/>
    <w:rsid w:val="00F15714"/>
    <w:rsid w:val="00F1582F"/>
    <w:rsid w:val="00F240D9"/>
    <w:rsid w:val="00F27862"/>
    <w:rsid w:val="00F36E8F"/>
    <w:rsid w:val="00F519C6"/>
    <w:rsid w:val="00F62875"/>
    <w:rsid w:val="00F66245"/>
    <w:rsid w:val="00F72E1F"/>
    <w:rsid w:val="00F73D0E"/>
    <w:rsid w:val="00F74740"/>
    <w:rsid w:val="00F750E4"/>
    <w:rsid w:val="00F75A39"/>
    <w:rsid w:val="00F87461"/>
    <w:rsid w:val="00F87820"/>
    <w:rsid w:val="00F879A2"/>
    <w:rsid w:val="00F90C49"/>
    <w:rsid w:val="00F95E38"/>
    <w:rsid w:val="00F96651"/>
    <w:rsid w:val="00FA16B1"/>
    <w:rsid w:val="00FA24B3"/>
    <w:rsid w:val="00FB177A"/>
    <w:rsid w:val="00FB3DD5"/>
    <w:rsid w:val="00FC77DC"/>
    <w:rsid w:val="00FD37A0"/>
    <w:rsid w:val="00FD4AE2"/>
    <w:rsid w:val="00FD55F8"/>
    <w:rsid w:val="00FD751B"/>
    <w:rsid w:val="00FE3E4D"/>
    <w:rsid w:val="00FF1EE8"/>
    <w:rsid w:val="00FF3A32"/>
    <w:rsid w:val="00FF5D3D"/>
    <w:rsid w:val="00FF777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DD082F"/>
  <w15:chartTrackingRefBased/>
  <w15:docId w15:val="{289DD938-8B5A-40AA-85E7-739F9FB53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3121EC"/>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8">
    <w:name w:val="heading 8"/>
    <w:basedOn w:val="a"/>
    <w:next w:val="a"/>
    <w:link w:val="80"/>
    <w:uiPriority w:val="9"/>
    <w:semiHidden/>
    <w:unhideWhenUsed/>
    <w:qFormat/>
    <w:rsid w:val="00246385"/>
    <w:pPr>
      <w:keepNext/>
      <w:spacing w:line="720" w:lineRule="auto"/>
      <w:ind w:leftChars="400" w:left="400"/>
      <w:outlineLvl w:val="7"/>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3121EC"/>
    <w:pPr>
      <w:ind w:leftChars="200" w:left="480"/>
    </w:pPr>
  </w:style>
  <w:style w:type="character" w:customStyle="1" w:styleId="10">
    <w:name w:val="標題 1 字元"/>
    <w:basedOn w:val="a0"/>
    <w:link w:val="1"/>
    <w:uiPriority w:val="9"/>
    <w:rsid w:val="003121EC"/>
    <w:rPr>
      <w:rFonts w:asciiTheme="majorHAnsi" w:eastAsiaTheme="majorEastAsia" w:hAnsiTheme="majorHAnsi" w:cstheme="majorBidi"/>
      <w:b/>
      <w:bCs/>
      <w:kern w:val="52"/>
      <w:sz w:val="52"/>
      <w:szCs w:val="52"/>
    </w:rPr>
  </w:style>
  <w:style w:type="paragraph" w:styleId="a5">
    <w:name w:val="TOC Heading"/>
    <w:basedOn w:val="1"/>
    <w:next w:val="a"/>
    <w:uiPriority w:val="39"/>
    <w:unhideWhenUsed/>
    <w:qFormat/>
    <w:rsid w:val="003121EC"/>
    <w:pPr>
      <w:keepLines/>
      <w:widowControl/>
      <w:spacing w:before="240" w:after="0" w:line="259" w:lineRule="auto"/>
      <w:outlineLvl w:val="9"/>
    </w:pPr>
    <w:rPr>
      <w:b w:val="0"/>
      <w:bCs w:val="0"/>
      <w:color w:val="2F5496" w:themeColor="accent1" w:themeShade="BF"/>
      <w:kern w:val="0"/>
      <w:sz w:val="32"/>
      <w:szCs w:val="32"/>
    </w:rPr>
  </w:style>
  <w:style w:type="paragraph" w:customStyle="1" w:styleId="Doc-title">
    <w:name w:val="Doc-title"/>
    <w:basedOn w:val="a"/>
    <w:next w:val="a"/>
    <w:link w:val="Doc-titleChar"/>
    <w:qFormat/>
    <w:rsid w:val="0027790E"/>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27790E"/>
    <w:rPr>
      <w:rFonts w:ascii="Arial" w:eastAsia="Times New Roman" w:hAnsi="Arial" w:cs="Times New Roman"/>
      <w:noProof/>
      <w:kern w:val="0"/>
      <w:sz w:val="20"/>
      <w:szCs w:val="20"/>
      <w:lang w:val="en-GB" w:eastAsia="ja-JP"/>
    </w:rPr>
  </w:style>
  <w:style w:type="character" w:styleId="a6">
    <w:name w:val="Hyperlink"/>
    <w:uiPriority w:val="99"/>
    <w:qFormat/>
    <w:rsid w:val="0027790E"/>
    <w:rPr>
      <w:color w:val="0000FF"/>
      <w:u w:val="single"/>
    </w:rPr>
  </w:style>
  <w:style w:type="paragraph" w:customStyle="1" w:styleId="Agreement">
    <w:name w:val="Agreement"/>
    <w:basedOn w:val="a"/>
    <w:next w:val="a"/>
    <w:qFormat/>
    <w:rsid w:val="0027790E"/>
    <w:pPr>
      <w:widowControl/>
      <w:numPr>
        <w:numId w:val="3"/>
      </w:numPr>
      <w:overflowPunct w:val="0"/>
      <w:autoSpaceDE w:val="0"/>
      <w:autoSpaceDN w:val="0"/>
      <w:adjustRightInd w:val="0"/>
      <w:spacing w:before="60"/>
      <w:textAlignment w:val="baseline"/>
    </w:pPr>
    <w:rPr>
      <w:rFonts w:ascii="Arial" w:eastAsia="Times New Roman" w:hAnsi="Arial" w:cs="Times New Roman"/>
      <w:b/>
      <w:kern w:val="0"/>
      <w:sz w:val="20"/>
      <w:szCs w:val="20"/>
      <w:lang w:val="fr-FR" w:eastAsia="ja-JP"/>
    </w:rPr>
  </w:style>
  <w:style w:type="paragraph" w:styleId="a7">
    <w:name w:val="header"/>
    <w:basedOn w:val="a"/>
    <w:link w:val="a8"/>
    <w:uiPriority w:val="99"/>
    <w:unhideWhenUsed/>
    <w:rsid w:val="00BC650E"/>
    <w:pPr>
      <w:tabs>
        <w:tab w:val="center" w:pos="4153"/>
        <w:tab w:val="right" w:pos="8306"/>
      </w:tabs>
      <w:snapToGrid w:val="0"/>
    </w:pPr>
    <w:rPr>
      <w:sz w:val="20"/>
      <w:szCs w:val="20"/>
    </w:rPr>
  </w:style>
  <w:style w:type="character" w:customStyle="1" w:styleId="a8">
    <w:name w:val="頁首 字元"/>
    <w:basedOn w:val="a0"/>
    <w:link w:val="a7"/>
    <w:uiPriority w:val="99"/>
    <w:rsid w:val="00BC650E"/>
    <w:rPr>
      <w:sz w:val="20"/>
      <w:szCs w:val="20"/>
    </w:rPr>
  </w:style>
  <w:style w:type="paragraph" w:styleId="a9">
    <w:name w:val="footer"/>
    <w:basedOn w:val="a"/>
    <w:link w:val="aa"/>
    <w:uiPriority w:val="99"/>
    <w:unhideWhenUsed/>
    <w:rsid w:val="00BC650E"/>
    <w:pPr>
      <w:tabs>
        <w:tab w:val="center" w:pos="4153"/>
        <w:tab w:val="right" w:pos="8306"/>
      </w:tabs>
      <w:snapToGrid w:val="0"/>
    </w:pPr>
    <w:rPr>
      <w:sz w:val="20"/>
      <w:szCs w:val="20"/>
    </w:rPr>
  </w:style>
  <w:style w:type="character" w:customStyle="1" w:styleId="aa">
    <w:name w:val="頁尾 字元"/>
    <w:basedOn w:val="a0"/>
    <w:link w:val="a9"/>
    <w:uiPriority w:val="99"/>
    <w:rsid w:val="00BC650E"/>
    <w:rPr>
      <w:sz w:val="20"/>
      <w:szCs w:val="20"/>
    </w:rPr>
  </w:style>
  <w:style w:type="paragraph" w:customStyle="1" w:styleId="CRCoverPage">
    <w:name w:val="CR Cover Page"/>
    <w:link w:val="CRCoverPageZchn"/>
    <w:qFormat/>
    <w:rsid w:val="0092699A"/>
    <w:pPr>
      <w:spacing w:after="120"/>
    </w:pPr>
    <w:rPr>
      <w:rFonts w:ascii="Arial" w:eastAsia="新細明體" w:hAnsi="Arial" w:cs="Times New Roman"/>
      <w:kern w:val="0"/>
      <w:sz w:val="20"/>
      <w:szCs w:val="20"/>
      <w:lang w:val="en-GB" w:eastAsia="en-US"/>
    </w:rPr>
  </w:style>
  <w:style w:type="character" w:customStyle="1" w:styleId="CRCoverPageZchn">
    <w:name w:val="CR Cover Page Zchn"/>
    <w:link w:val="CRCoverPage"/>
    <w:rsid w:val="0092699A"/>
    <w:rPr>
      <w:rFonts w:ascii="Arial" w:eastAsia="新細明體" w:hAnsi="Arial" w:cs="Times New Roman"/>
      <w:kern w:val="0"/>
      <w:sz w:val="20"/>
      <w:szCs w:val="20"/>
      <w:lang w:val="en-GB" w:eastAsia="en-US"/>
    </w:rPr>
  </w:style>
  <w:style w:type="paragraph" w:customStyle="1" w:styleId="TAL">
    <w:name w:val="TAL"/>
    <w:basedOn w:val="a"/>
    <w:link w:val="TALCar"/>
    <w:qFormat/>
    <w:rsid w:val="001C5902"/>
    <w:pPr>
      <w:keepNext/>
      <w:keepLines/>
      <w:widowControl/>
      <w:overflowPunct w:val="0"/>
      <w:autoSpaceDE w:val="0"/>
      <w:autoSpaceDN w:val="0"/>
      <w:adjustRightInd w:val="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1C5902"/>
    <w:rPr>
      <w:rFonts w:ascii="Arial" w:eastAsia="Times New Roman" w:hAnsi="Arial" w:cs="Times New Roman"/>
      <w:kern w:val="0"/>
      <w:sz w:val="18"/>
      <w:szCs w:val="20"/>
      <w:lang w:val="en-GB" w:eastAsia="ja-JP"/>
    </w:rPr>
  </w:style>
  <w:style w:type="paragraph" w:customStyle="1" w:styleId="TAH">
    <w:name w:val="TAH"/>
    <w:basedOn w:val="a"/>
    <w:link w:val="TAHCar"/>
    <w:qFormat/>
    <w:rsid w:val="001C5902"/>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1C5902"/>
    <w:rPr>
      <w:rFonts w:ascii="Arial" w:eastAsia="Times New Roman" w:hAnsi="Arial" w:cs="Times New Roman"/>
      <w:b/>
      <w:kern w:val="0"/>
      <w:sz w:val="18"/>
      <w:szCs w:val="20"/>
      <w:lang w:val="en-GB" w:eastAsia="ja-JP"/>
    </w:rPr>
  </w:style>
  <w:style w:type="paragraph" w:customStyle="1" w:styleId="TH">
    <w:name w:val="TH"/>
    <w:basedOn w:val="a"/>
    <w:link w:val="THChar"/>
    <w:qFormat/>
    <w:rsid w:val="001C5902"/>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1C5902"/>
    <w:rPr>
      <w:rFonts w:ascii="Arial" w:eastAsia="Times New Roman" w:hAnsi="Arial" w:cs="Times New Roman"/>
      <w:b/>
      <w:kern w:val="0"/>
      <w:sz w:val="20"/>
      <w:szCs w:val="20"/>
      <w:lang w:val="en-GB" w:eastAsia="ja-JP"/>
    </w:rPr>
  </w:style>
  <w:style w:type="character" w:styleId="ab">
    <w:name w:val="Unresolved Mention"/>
    <w:basedOn w:val="a0"/>
    <w:uiPriority w:val="99"/>
    <w:semiHidden/>
    <w:unhideWhenUsed/>
    <w:rsid w:val="001C5902"/>
    <w:rPr>
      <w:color w:val="605E5C"/>
      <w:shd w:val="clear" w:color="auto" w:fill="E1DFDD"/>
    </w:rPr>
  </w:style>
  <w:style w:type="character" w:customStyle="1" w:styleId="80">
    <w:name w:val="標題 8 字元"/>
    <w:basedOn w:val="a0"/>
    <w:link w:val="8"/>
    <w:uiPriority w:val="9"/>
    <w:semiHidden/>
    <w:rsid w:val="00246385"/>
    <w:rPr>
      <w:rFonts w:asciiTheme="majorHAnsi" w:eastAsiaTheme="majorEastAsia" w:hAnsiTheme="majorHAnsi" w:cstheme="majorBidi"/>
      <w:sz w:val="36"/>
      <w:szCs w:val="36"/>
    </w:rPr>
  </w:style>
  <w:style w:type="table" w:styleId="ac">
    <w:name w:val="Table Grid"/>
    <w:basedOn w:val="a1"/>
    <w:uiPriority w:val="39"/>
    <w:rsid w:val="00AA2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清單段落 字元"/>
    <w:link w:val="a3"/>
    <w:uiPriority w:val="34"/>
    <w:qFormat/>
    <w:locked/>
    <w:rsid w:val="0064741D"/>
  </w:style>
  <w:style w:type="character" w:customStyle="1" w:styleId="TANChar">
    <w:name w:val="TAN Char"/>
    <w:link w:val="TAN"/>
    <w:qFormat/>
    <w:locked/>
    <w:rsid w:val="001264BE"/>
    <w:rPr>
      <w:rFonts w:ascii="Arial" w:hAnsi="Arial" w:cs="Arial"/>
      <w:sz w:val="18"/>
      <w:lang w:eastAsia="en-US"/>
    </w:rPr>
  </w:style>
  <w:style w:type="paragraph" w:customStyle="1" w:styleId="TAN">
    <w:name w:val="TAN"/>
    <w:basedOn w:val="a"/>
    <w:link w:val="TANChar"/>
    <w:qFormat/>
    <w:rsid w:val="001264BE"/>
    <w:pPr>
      <w:keepNext/>
      <w:keepLines/>
      <w:widowControl/>
      <w:ind w:left="851" w:hanging="851"/>
    </w:pPr>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652439">
      <w:bodyDiv w:val="1"/>
      <w:marLeft w:val="0"/>
      <w:marRight w:val="0"/>
      <w:marTop w:val="0"/>
      <w:marBottom w:val="0"/>
      <w:divBdr>
        <w:top w:val="none" w:sz="0" w:space="0" w:color="auto"/>
        <w:left w:val="none" w:sz="0" w:space="0" w:color="auto"/>
        <w:bottom w:val="none" w:sz="0" w:space="0" w:color="auto"/>
        <w:right w:val="none" w:sz="0" w:space="0" w:color="auto"/>
      </w:divBdr>
    </w:div>
    <w:div w:id="358045851">
      <w:bodyDiv w:val="1"/>
      <w:marLeft w:val="0"/>
      <w:marRight w:val="0"/>
      <w:marTop w:val="0"/>
      <w:marBottom w:val="0"/>
      <w:divBdr>
        <w:top w:val="none" w:sz="0" w:space="0" w:color="auto"/>
        <w:left w:val="none" w:sz="0" w:space="0" w:color="auto"/>
        <w:bottom w:val="none" w:sz="0" w:space="0" w:color="auto"/>
        <w:right w:val="none" w:sz="0" w:space="0" w:color="auto"/>
      </w:divBdr>
    </w:div>
    <w:div w:id="572929632">
      <w:bodyDiv w:val="1"/>
      <w:marLeft w:val="0"/>
      <w:marRight w:val="0"/>
      <w:marTop w:val="0"/>
      <w:marBottom w:val="0"/>
      <w:divBdr>
        <w:top w:val="none" w:sz="0" w:space="0" w:color="auto"/>
        <w:left w:val="none" w:sz="0" w:space="0" w:color="auto"/>
        <w:bottom w:val="none" w:sz="0" w:space="0" w:color="auto"/>
        <w:right w:val="none" w:sz="0" w:space="0" w:color="auto"/>
      </w:divBdr>
    </w:div>
    <w:div w:id="759563671">
      <w:bodyDiv w:val="1"/>
      <w:marLeft w:val="0"/>
      <w:marRight w:val="0"/>
      <w:marTop w:val="0"/>
      <w:marBottom w:val="0"/>
      <w:divBdr>
        <w:top w:val="none" w:sz="0" w:space="0" w:color="auto"/>
        <w:left w:val="none" w:sz="0" w:space="0" w:color="auto"/>
        <w:bottom w:val="none" w:sz="0" w:space="0" w:color="auto"/>
        <w:right w:val="none" w:sz="0" w:space="0" w:color="auto"/>
      </w:divBdr>
    </w:div>
    <w:div w:id="796490941">
      <w:bodyDiv w:val="1"/>
      <w:marLeft w:val="0"/>
      <w:marRight w:val="0"/>
      <w:marTop w:val="0"/>
      <w:marBottom w:val="0"/>
      <w:divBdr>
        <w:top w:val="none" w:sz="0" w:space="0" w:color="auto"/>
        <w:left w:val="none" w:sz="0" w:space="0" w:color="auto"/>
        <w:bottom w:val="none" w:sz="0" w:space="0" w:color="auto"/>
        <w:right w:val="none" w:sz="0" w:space="0" w:color="auto"/>
      </w:divBdr>
    </w:div>
    <w:div w:id="1037240311">
      <w:bodyDiv w:val="1"/>
      <w:marLeft w:val="0"/>
      <w:marRight w:val="0"/>
      <w:marTop w:val="0"/>
      <w:marBottom w:val="0"/>
      <w:divBdr>
        <w:top w:val="none" w:sz="0" w:space="0" w:color="auto"/>
        <w:left w:val="none" w:sz="0" w:space="0" w:color="auto"/>
        <w:bottom w:val="none" w:sz="0" w:space="0" w:color="auto"/>
        <w:right w:val="none" w:sz="0" w:space="0" w:color="auto"/>
      </w:divBdr>
    </w:div>
    <w:div w:id="1148208763">
      <w:bodyDiv w:val="1"/>
      <w:marLeft w:val="0"/>
      <w:marRight w:val="0"/>
      <w:marTop w:val="0"/>
      <w:marBottom w:val="0"/>
      <w:divBdr>
        <w:top w:val="none" w:sz="0" w:space="0" w:color="auto"/>
        <w:left w:val="none" w:sz="0" w:space="0" w:color="auto"/>
        <w:bottom w:val="none" w:sz="0" w:space="0" w:color="auto"/>
        <w:right w:val="none" w:sz="0" w:space="0" w:color="auto"/>
      </w:divBdr>
    </w:div>
    <w:div w:id="1245725775">
      <w:bodyDiv w:val="1"/>
      <w:marLeft w:val="0"/>
      <w:marRight w:val="0"/>
      <w:marTop w:val="0"/>
      <w:marBottom w:val="0"/>
      <w:divBdr>
        <w:top w:val="none" w:sz="0" w:space="0" w:color="auto"/>
        <w:left w:val="none" w:sz="0" w:space="0" w:color="auto"/>
        <w:bottom w:val="none" w:sz="0" w:space="0" w:color="auto"/>
        <w:right w:val="none" w:sz="0" w:space="0" w:color="auto"/>
      </w:divBdr>
    </w:div>
    <w:div w:id="1284458853">
      <w:bodyDiv w:val="1"/>
      <w:marLeft w:val="0"/>
      <w:marRight w:val="0"/>
      <w:marTop w:val="0"/>
      <w:marBottom w:val="0"/>
      <w:divBdr>
        <w:top w:val="none" w:sz="0" w:space="0" w:color="auto"/>
        <w:left w:val="none" w:sz="0" w:space="0" w:color="auto"/>
        <w:bottom w:val="none" w:sz="0" w:space="0" w:color="auto"/>
        <w:right w:val="none" w:sz="0" w:space="0" w:color="auto"/>
      </w:divBdr>
    </w:div>
    <w:div w:id="1351377668">
      <w:bodyDiv w:val="1"/>
      <w:marLeft w:val="0"/>
      <w:marRight w:val="0"/>
      <w:marTop w:val="0"/>
      <w:marBottom w:val="0"/>
      <w:divBdr>
        <w:top w:val="none" w:sz="0" w:space="0" w:color="auto"/>
        <w:left w:val="none" w:sz="0" w:space="0" w:color="auto"/>
        <w:bottom w:val="none" w:sz="0" w:space="0" w:color="auto"/>
        <w:right w:val="none" w:sz="0" w:space="0" w:color="auto"/>
      </w:divBdr>
    </w:div>
    <w:div w:id="176753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FC4D8-1DD2-4609-98E6-6F36CA99F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Pages>
  <Words>795</Words>
  <Characters>4532</Characters>
  <Application>Microsoft Office Word</Application>
  <DocSecurity>0</DocSecurity>
  <Lines>37</Lines>
  <Paragraphs>10</Paragraphs>
  <ScaleCrop>false</ScaleCrop>
  <Company>MTK</Company>
  <LinksUpToDate>false</LinksUpToDate>
  <CharactersWithSpaces>5317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Morton Lin (林牧台)</dc:creator>
  <cp:keywords/>
  <dc:description/>
  <cp:lastModifiedBy>Morton Lin (林牧台)</cp:lastModifiedBy>
  <cp:revision>8</cp:revision>
  <dcterms:created xsi:type="dcterms:W3CDTF">2022-11-04T06:52:00Z</dcterms:created>
  <dcterms:modified xsi:type="dcterms:W3CDTF">2022-11-04T08:19:00Z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2022-11-01T09:19:46Z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6c280fb2-3c7e-486a-b825-65b9ab43dc60</vt:lpwstr>
  </property>
  <property fmtid="{D5CDD505-2E9C-101B-9397-08002B2CF9AE}" pid="8" name="MSIP_Label_83bcef13-7cac-433f-ba1d-47a323951816_ContentBits">
    <vt:lpwstr>0</vt:lpwstr>
  </property>
</Properties>
</file>